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F973" w14:textId="77777777" w:rsidR="007176C1" w:rsidRPr="00D71A4F" w:rsidRDefault="008D7D89">
      <w:pPr>
        <w:spacing w:after="0" w:line="259" w:lineRule="auto"/>
        <w:ind w:left="47" w:firstLine="0"/>
        <w:jc w:val="center"/>
        <w:rPr>
          <w:rFonts w:ascii="Arial" w:hAnsi="Arial" w:cs="Arial"/>
        </w:rPr>
      </w:pPr>
      <w:r w:rsidRPr="00D71A4F">
        <w:rPr>
          <w:rFonts w:ascii="Arial" w:hAnsi="Arial" w:cs="Arial"/>
          <w:b/>
        </w:rPr>
        <w:t xml:space="preserve"> </w:t>
      </w:r>
    </w:p>
    <w:p w14:paraId="162780BB" w14:textId="77777777" w:rsidR="007176C1" w:rsidRPr="00D71A4F" w:rsidRDefault="008D7D89" w:rsidP="008210B4">
      <w:pPr>
        <w:spacing w:after="0" w:line="259" w:lineRule="auto"/>
        <w:ind w:left="126" w:firstLine="0"/>
        <w:rPr>
          <w:rFonts w:ascii="Arial" w:hAnsi="Arial" w:cs="Arial"/>
        </w:rPr>
      </w:pPr>
      <w:r w:rsidRPr="00D71A4F">
        <w:rPr>
          <w:rFonts w:ascii="Arial" w:hAnsi="Arial" w:cs="Arial"/>
          <w:noProof/>
        </w:rPr>
        <w:drawing>
          <wp:inline distT="0" distB="0" distL="0" distR="0" wp14:anchorId="3F43CD8C" wp14:editId="273157AA">
            <wp:extent cx="2003425" cy="714185"/>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7"/>
                    <a:stretch>
                      <a:fillRect/>
                    </a:stretch>
                  </pic:blipFill>
                  <pic:spPr>
                    <a:xfrm>
                      <a:off x="0" y="0"/>
                      <a:ext cx="2003425" cy="714185"/>
                    </a:xfrm>
                    <a:prstGeom prst="rect">
                      <a:avLst/>
                    </a:prstGeom>
                  </pic:spPr>
                </pic:pic>
              </a:graphicData>
            </a:graphic>
          </wp:inline>
        </w:drawing>
      </w:r>
      <w:r w:rsidRPr="00D71A4F">
        <w:rPr>
          <w:rFonts w:ascii="Arial" w:hAnsi="Arial" w:cs="Arial"/>
          <w:b/>
        </w:rPr>
        <w:t xml:space="preserve">  </w:t>
      </w:r>
    </w:p>
    <w:p w14:paraId="04823225" w14:textId="77777777" w:rsidR="007176C1" w:rsidRPr="00D71A4F" w:rsidRDefault="008D7D89">
      <w:pPr>
        <w:spacing w:after="79" w:line="259" w:lineRule="auto"/>
        <w:ind w:left="47" w:firstLine="0"/>
        <w:jc w:val="center"/>
        <w:rPr>
          <w:rFonts w:ascii="Arial" w:hAnsi="Arial" w:cs="Arial"/>
        </w:rPr>
      </w:pPr>
      <w:r w:rsidRPr="00D71A4F">
        <w:rPr>
          <w:rFonts w:ascii="Arial" w:hAnsi="Arial" w:cs="Arial"/>
          <w:b/>
        </w:rPr>
        <w:t xml:space="preserve"> </w:t>
      </w:r>
    </w:p>
    <w:p w14:paraId="1E1F05EC" w14:textId="345ADA78" w:rsidR="007176C1" w:rsidRPr="00B36620" w:rsidRDefault="008D7D89" w:rsidP="008210B4">
      <w:pPr>
        <w:spacing w:after="0" w:line="259" w:lineRule="auto"/>
        <w:ind w:right="4"/>
        <w:rPr>
          <w:rFonts w:ascii="Arial" w:hAnsi="Arial" w:cs="Arial"/>
          <w:sz w:val="24"/>
          <w:szCs w:val="24"/>
        </w:rPr>
      </w:pPr>
      <w:r w:rsidRPr="00B36620">
        <w:rPr>
          <w:rFonts w:ascii="Arial" w:hAnsi="Arial" w:cs="Arial"/>
          <w:b/>
          <w:sz w:val="32"/>
          <w:szCs w:val="24"/>
        </w:rPr>
        <w:t xml:space="preserve">Changes to Data Protection Law </w:t>
      </w:r>
      <w:r w:rsidR="008210B4" w:rsidRPr="00B36620">
        <w:rPr>
          <w:rFonts w:ascii="Arial" w:hAnsi="Arial" w:cs="Arial"/>
          <w:b/>
          <w:sz w:val="32"/>
          <w:szCs w:val="24"/>
        </w:rPr>
        <w:t xml:space="preserve">- </w:t>
      </w:r>
      <w:r w:rsidRPr="00B36620">
        <w:rPr>
          <w:rFonts w:ascii="Arial" w:hAnsi="Arial" w:cs="Arial"/>
          <w:b/>
          <w:sz w:val="32"/>
          <w:szCs w:val="24"/>
        </w:rPr>
        <w:t xml:space="preserve">Information and Guidance </w:t>
      </w:r>
    </w:p>
    <w:p w14:paraId="33F48BBE" w14:textId="15F33C04" w:rsidR="00FC221E" w:rsidRDefault="00FC221E" w:rsidP="008210B4">
      <w:pPr>
        <w:spacing w:after="79" w:line="259" w:lineRule="auto"/>
        <w:ind w:left="0" w:right="4" w:firstLine="0"/>
        <w:rPr>
          <w:rFonts w:ascii="Arial" w:hAnsi="Arial" w:cs="Arial"/>
          <w:b/>
        </w:rPr>
      </w:pPr>
      <w:r>
        <w:rPr>
          <w:rFonts w:ascii="Arial" w:hAnsi="Arial" w:cs="Arial"/>
          <w:b/>
        </w:rPr>
        <w:t>July 201</w:t>
      </w:r>
      <w:r w:rsidR="006F0C03">
        <w:rPr>
          <w:rFonts w:ascii="Arial" w:hAnsi="Arial" w:cs="Arial"/>
          <w:b/>
        </w:rPr>
        <w:t>8</w:t>
      </w:r>
      <w:bookmarkStart w:id="0" w:name="_GoBack"/>
      <w:bookmarkEnd w:id="0"/>
    </w:p>
    <w:p w14:paraId="6A6CD1A0" w14:textId="2C5780CA" w:rsidR="007176C1" w:rsidRPr="00D71A4F" w:rsidRDefault="008D7D89" w:rsidP="008210B4">
      <w:pPr>
        <w:spacing w:after="79" w:line="259" w:lineRule="auto"/>
        <w:ind w:left="0" w:right="4" w:firstLine="0"/>
        <w:rPr>
          <w:rFonts w:ascii="Arial" w:hAnsi="Arial" w:cs="Arial"/>
        </w:rPr>
      </w:pPr>
      <w:r w:rsidRPr="00D71A4F">
        <w:rPr>
          <w:rFonts w:ascii="Arial" w:hAnsi="Arial" w:cs="Arial"/>
          <w:b/>
        </w:rPr>
        <w:t xml:space="preserve"> </w:t>
      </w:r>
    </w:p>
    <w:p w14:paraId="6BB2DD49" w14:textId="77777777" w:rsidR="007176C1" w:rsidRPr="00B36620" w:rsidRDefault="008D7D89">
      <w:pPr>
        <w:pStyle w:val="Heading1"/>
        <w:ind w:left="-5" w:right="0"/>
        <w:rPr>
          <w:rFonts w:ascii="Arial" w:hAnsi="Arial" w:cs="Arial"/>
          <w:sz w:val="28"/>
          <w:szCs w:val="28"/>
        </w:rPr>
      </w:pPr>
      <w:bookmarkStart w:id="1" w:name="_Toc30768813"/>
      <w:r w:rsidRPr="00B36620">
        <w:rPr>
          <w:rFonts w:ascii="Arial" w:hAnsi="Arial" w:cs="Arial"/>
          <w:sz w:val="24"/>
          <w:szCs w:val="24"/>
        </w:rPr>
        <w:t>ABOUT THIS GUIDANCE</w:t>
      </w:r>
      <w:bookmarkEnd w:id="1"/>
      <w:r w:rsidRPr="00B36620">
        <w:rPr>
          <w:rFonts w:ascii="Arial" w:hAnsi="Arial" w:cs="Arial"/>
          <w:sz w:val="24"/>
          <w:szCs w:val="24"/>
        </w:rPr>
        <w:t xml:space="preserve"> </w:t>
      </w:r>
    </w:p>
    <w:tbl>
      <w:tblPr>
        <w:tblStyle w:val="TableGrid0"/>
        <w:tblW w:w="0" w:type="auto"/>
        <w:tblInd w:w="-5" w:type="dxa"/>
        <w:tblLook w:val="04A0" w:firstRow="1" w:lastRow="0" w:firstColumn="1" w:lastColumn="0" w:noHBand="0" w:noVBand="1"/>
      </w:tblPr>
      <w:tblGrid>
        <w:gridCol w:w="9354"/>
      </w:tblGrid>
      <w:tr w:rsidR="00B36620" w14:paraId="376DF6B4" w14:textId="77777777" w:rsidTr="00B36620">
        <w:trPr>
          <w:trHeight w:val="354"/>
        </w:trPr>
        <w:tc>
          <w:tcPr>
            <w:tcW w:w="9354" w:type="dxa"/>
          </w:tcPr>
          <w:p w14:paraId="401D8075" w14:textId="77777777" w:rsidR="00B36620" w:rsidRDefault="00B36620" w:rsidP="00B36620">
            <w:pPr>
              <w:spacing w:after="0" w:line="240" w:lineRule="auto"/>
              <w:ind w:left="-6" w:hanging="11"/>
              <w:contextualSpacing/>
              <w:rPr>
                <w:rFonts w:ascii="Arial" w:hAnsi="Arial" w:cs="Arial"/>
                <w:b/>
                <w:sz w:val="24"/>
                <w:szCs w:val="24"/>
              </w:rPr>
            </w:pPr>
          </w:p>
          <w:p w14:paraId="256EC09F" w14:textId="77777777" w:rsidR="00B36620" w:rsidRPr="00B36620" w:rsidRDefault="00B36620" w:rsidP="00B36620">
            <w:pPr>
              <w:spacing w:after="0" w:line="240" w:lineRule="auto"/>
              <w:ind w:left="-5"/>
              <w:contextualSpacing/>
              <w:rPr>
                <w:rFonts w:ascii="Arial" w:hAnsi="Arial" w:cs="Arial"/>
                <w:bCs/>
                <w:sz w:val="24"/>
                <w:szCs w:val="24"/>
              </w:rPr>
            </w:pPr>
            <w:r w:rsidRPr="00B36620">
              <w:rPr>
                <w:rFonts w:ascii="Arial" w:hAnsi="Arial" w:cs="Arial"/>
                <w:bCs/>
                <w:sz w:val="24"/>
                <w:szCs w:val="24"/>
              </w:rPr>
              <w:t xml:space="preserve">The General Data Protection Regulation (GDPR) and the new Data Protection Act 2018 (DPA2018) both came into effect on 25 May 2018.  The changes they introduced affect everyone in the optical sector.  </w:t>
            </w:r>
          </w:p>
          <w:p w14:paraId="71BE952E" w14:textId="4D753B3F" w:rsidR="00B36620" w:rsidRPr="00B36620" w:rsidRDefault="00B36620" w:rsidP="00B36620">
            <w:pPr>
              <w:spacing w:after="0" w:line="240" w:lineRule="auto"/>
              <w:ind w:left="-5"/>
              <w:contextualSpacing/>
              <w:rPr>
                <w:rFonts w:ascii="Arial" w:hAnsi="Arial" w:cs="Arial"/>
                <w:sz w:val="24"/>
                <w:szCs w:val="24"/>
              </w:rPr>
            </w:pPr>
          </w:p>
        </w:tc>
      </w:tr>
    </w:tbl>
    <w:p w14:paraId="6C52ACF8" w14:textId="77777777" w:rsidR="00B36620" w:rsidRDefault="00B36620" w:rsidP="00B36620">
      <w:pPr>
        <w:spacing w:after="0"/>
        <w:ind w:left="0" w:right="11" w:firstLine="0"/>
        <w:contextualSpacing/>
        <w:rPr>
          <w:rFonts w:ascii="Arial" w:hAnsi="Arial" w:cs="Arial"/>
          <w:sz w:val="24"/>
          <w:szCs w:val="24"/>
        </w:rPr>
      </w:pPr>
    </w:p>
    <w:p w14:paraId="7CE5C47A" w14:textId="4A330060" w:rsidR="007176C1" w:rsidRDefault="008D7D89" w:rsidP="00B36620">
      <w:pPr>
        <w:spacing w:after="0"/>
        <w:ind w:left="0" w:right="11" w:firstLine="0"/>
        <w:contextualSpacing/>
        <w:rPr>
          <w:rFonts w:ascii="Arial" w:hAnsi="Arial" w:cs="Arial"/>
          <w:sz w:val="24"/>
          <w:szCs w:val="24"/>
        </w:rPr>
      </w:pPr>
      <w:r w:rsidRPr="00B36620">
        <w:rPr>
          <w:rFonts w:ascii="Arial" w:hAnsi="Arial" w:cs="Arial"/>
          <w:sz w:val="24"/>
          <w:szCs w:val="24"/>
        </w:rPr>
        <w:t xml:space="preserve">This guidance aims to help the sector – including optical practices, manufacturers/suppliers/distributors, and employees – understand the new data protection rules and what you need to do.  </w:t>
      </w:r>
    </w:p>
    <w:p w14:paraId="21A23D9E" w14:textId="77777777" w:rsidR="00B36620" w:rsidRPr="00B36620" w:rsidRDefault="00B36620" w:rsidP="00B36620">
      <w:pPr>
        <w:spacing w:after="0"/>
        <w:ind w:left="0" w:right="11" w:firstLine="0"/>
        <w:contextualSpacing/>
        <w:rPr>
          <w:rFonts w:ascii="Arial" w:hAnsi="Arial" w:cs="Arial"/>
          <w:sz w:val="24"/>
          <w:szCs w:val="24"/>
        </w:rPr>
      </w:pPr>
    </w:p>
    <w:p w14:paraId="15AF6513" w14:textId="77777777" w:rsidR="007176C1" w:rsidRPr="00B36620" w:rsidRDefault="008D7D89">
      <w:pPr>
        <w:spacing w:after="253"/>
        <w:ind w:left="-5" w:right="11"/>
        <w:rPr>
          <w:rFonts w:ascii="Arial" w:hAnsi="Arial" w:cs="Arial"/>
          <w:sz w:val="24"/>
          <w:szCs w:val="24"/>
        </w:rPr>
      </w:pPr>
      <w:r w:rsidRPr="00B36620">
        <w:rPr>
          <w:rFonts w:ascii="Arial" w:hAnsi="Arial" w:cs="Arial"/>
          <w:sz w:val="24"/>
          <w:szCs w:val="24"/>
        </w:rPr>
        <w:t xml:space="preserve">The guidance is in two parts: </w:t>
      </w:r>
    </w:p>
    <w:p w14:paraId="04C53AFC" w14:textId="77777777" w:rsidR="007176C1" w:rsidRPr="00B36620" w:rsidRDefault="008D7D89" w:rsidP="00CE1945">
      <w:pPr>
        <w:pStyle w:val="ListParagraph"/>
        <w:numPr>
          <w:ilvl w:val="0"/>
          <w:numId w:val="24"/>
        </w:numPr>
        <w:spacing w:after="51"/>
        <w:ind w:right="11"/>
        <w:rPr>
          <w:rFonts w:ascii="Arial" w:hAnsi="Arial" w:cs="Arial"/>
          <w:sz w:val="24"/>
          <w:szCs w:val="24"/>
        </w:rPr>
      </w:pPr>
      <w:r w:rsidRPr="00B36620">
        <w:rPr>
          <w:rFonts w:ascii="Arial" w:hAnsi="Arial" w:cs="Arial"/>
          <w:sz w:val="24"/>
          <w:szCs w:val="24"/>
        </w:rPr>
        <w:t xml:space="preserve">Part One – What you need to know - provides a basic overview of the new data protection rules and what has changed. </w:t>
      </w:r>
    </w:p>
    <w:p w14:paraId="1D74880D" w14:textId="77777777" w:rsidR="007176C1" w:rsidRPr="00B36620" w:rsidRDefault="008D7D89" w:rsidP="00CE1945">
      <w:pPr>
        <w:pStyle w:val="ListParagraph"/>
        <w:numPr>
          <w:ilvl w:val="0"/>
          <w:numId w:val="24"/>
        </w:numPr>
        <w:spacing w:after="181"/>
        <w:ind w:right="11"/>
        <w:rPr>
          <w:rFonts w:ascii="Arial" w:hAnsi="Arial" w:cs="Arial"/>
          <w:sz w:val="24"/>
          <w:szCs w:val="24"/>
        </w:rPr>
      </w:pPr>
      <w:r w:rsidRPr="00B36620">
        <w:rPr>
          <w:rFonts w:ascii="Arial" w:hAnsi="Arial" w:cs="Arial"/>
          <w:sz w:val="24"/>
          <w:szCs w:val="24"/>
        </w:rPr>
        <w:t xml:space="preserve">Part Two – What you need to do - explains what steps you need to take. </w:t>
      </w:r>
    </w:p>
    <w:p w14:paraId="1A941E89" w14:textId="77777777" w:rsidR="007176C1" w:rsidRPr="00B36620" w:rsidRDefault="008D7D89">
      <w:pPr>
        <w:ind w:left="-5" w:right="11"/>
        <w:rPr>
          <w:rFonts w:ascii="Arial" w:hAnsi="Arial" w:cs="Arial"/>
          <w:sz w:val="24"/>
          <w:szCs w:val="24"/>
        </w:rPr>
      </w:pPr>
      <w:r w:rsidRPr="00B36620">
        <w:rPr>
          <w:rFonts w:ascii="Arial" w:hAnsi="Arial" w:cs="Arial"/>
          <w:sz w:val="24"/>
          <w:szCs w:val="24"/>
        </w:rPr>
        <w:t xml:space="preserve">Some of the important detail of the new rules is still not confirmed - the Information Commissioner’s Office (ICO) and the NHS are still developing and publishing guidance.   </w:t>
      </w:r>
    </w:p>
    <w:p w14:paraId="3F643002" w14:textId="77777777" w:rsidR="007176C1" w:rsidRPr="00B36620" w:rsidRDefault="008D7D89">
      <w:pPr>
        <w:ind w:left="-5" w:right="11"/>
        <w:rPr>
          <w:rFonts w:ascii="Arial" w:hAnsi="Arial" w:cs="Arial"/>
          <w:sz w:val="24"/>
          <w:szCs w:val="24"/>
        </w:rPr>
      </w:pPr>
      <w:r w:rsidRPr="00B36620">
        <w:rPr>
          <w:rFonts w:ascii="Arial" w:hAnsi="Arial" w:cs="Arial"/>
          <w:sz w:val="24"/>
          <w:szCs w:val="24"/>
        </w:rPr>
        <w:t xml:space="preserve">The Optical Confederation will continue to work with the ICO, the NHS and other primary care contractor professions to ensure an approach that does not place disproportionate burdens on front line practices, manufacturers, distributors and suppliers whilst fully protecting the personal data of patients, customers and staff.   </w:t>
      </w:r>
    </w:p>
    <w:p w14:paraId="01928616" w14:textId="540B3C4E" w:rsidR="007176C1" w:rsidRPr="00B36620" w:rsidRDefault="008D7D89">
      <w:pPr>
        <w:ind w:left="-5" w:right="11"/>
        <w:rPr>
          <w:rFonts w:ascii="Arial" w:hAnsi="Arial" w:cs="Arial"/>
          <w:sz w:val="24"/>
          <w:szCs w:val="24"/>
        </w:rPr>
      </w:pPr>
      <w:r w:rsidRPr="00B36620">
        <w:rPr>
          <w:rFonts w:ascii="Arial" w:hAnsi="Arial" w:cs="Arial"/>
          <w:sz w:val="24"/>
          <w:szCs w:val="24"/>
        </w:rPr>
        <w:t>We will update this guidance as necessary in response to new guidance from the ICO and the NHS</w:t>
      </w:r>
      <w:r w:rsidR="00881715" w:rsidRPr="00B36620">
        <w:rPr>
          <w:rFonts w:ascii="Arial" w:hAnsi="Arial" w:cs="Arial"/>
          <w:sz w:val="24"/>
          <w:szCs w:val="24"/>
        </w:rPr>
        <w:t xml:space="preserve"> on </w:t>
      </w:r>
      <w:hyperlink r:id="rId8" w:history="1">
        <w:r w:rsidR="00881715" w:rsidRPr="00B36620">
          <w:rPr>
            <w:rStyle w:val="Hyperlink"/>
            <w:rFonts w:ascii="Arial" w:hAnsi="Arial" w:cs="Arial"/>
            <w:sz w:val="24"/>
            <w:szCs w:val="24"/>
          </w:rPr>
          <w:t>www.fodo.com</w:t>
        </w:r>
      </w:hyperlink>
      <w:r w:rsidR="00881715" w:rsidRPr="00B36620">
        <w:rPr>
          <w:rFonts w:ascii="Arial" w:hAnsi="Arial" w:cs="Arial"/>
          <w:sz w:val="24"/>
          <w:szCs w:val="24"/>
        </w:rPr>
        <w:t xml:space="preserve">. </w:t>
      </w:r>
    </w:p>
    <w:p w14:paraId="33105457" w14:textId="77777777" w:rsidR="00CE1945" w:rsidRPr="00D71A4F" w:rsidRDefault="00CE1945">
      <w:pPr>
        <w:tabs>
          <w:tab w:val="center" w:pos="2160"/>
          <w:tab w:val="center" w:pos="2881"/>
          <w:tab w:val="center" w:pos="3601"/>
          <w:tab w:val="center" w:pos="4321"/>
          <w:tab w:val="center" w:pos="5041"/>
          <w:tab w:val="center" w:pos="5761"/>
          <w:tab w:val="center" w:pos="6481"/>
          <w:tab w:val="center" w:pos="7201"/>
          <w:tab w:val="center" w:pos="8143"/>
        </w:tabs>
        <w:spacing w:after="209" w:line="267" w:lineRule="auto"/>
        <w:ind w:left="-15" w:firstLine="0"/>
        <w:rPr>
          <w:rFonts w:ascii="Arial" w:hAnsi="Arial" w:cs="Arial"/>
          <w:b/>
        </w:rPr>
      </w:pPr>
    </w:p>
    <w:p w14:paraId="05B224DA" w14:textId="4E15708D" w:rsidR="00881715" w:rsidRPr="00D71A4F" w:rsidRDefault="00881715">
      <w:pPr>
        <w:spacing w:after="209" w:line="267" w:lineRule="auto"/>
        <w:ind w:left="-5"/>
        <w:rPr>
          <w:rFonts w:ascii="Arial" w:hAnsi="Arial" w:cs="Arial"/>
          <w:b/>
        </w:rPr>
      </w:pPr>
    </w:p>
    <w:p w14:paraId="278BA080" w14:textId="329908B8" w:rsidR="00881715" w:rsidRPr="00D71A4F" w:rsidRDefault="00881715">
      <w:pPr>
        <w:spacing w:after="209" w:line="267" w:lineRule="auto"/>
        <w:ind w:left="-5"/>
        <w:rPr>
          <w:rFonts w:ascii="Arial" w:hAnsi="Arial" w:cs="Arial"/>
          <w:b/>
        </w:rPr>
      </w:pPr>
    </w:p>
    <w:p w14:paraId="33F059DB" w14:textId="26B3E653" w:rsidR="00881715" w:rsidRPr="00D71A4F" w:rsidRDefault="00881715">
      <w:pPr>
        <w:spacing w:after="209" w:line="267" w:lineRule="auto"/>
        <w:ind w:left="-5"/>
        <w:rPr>
          <w:rFonts w:ascii="Arial" w:hAnsi="Arial" w:cs="Arial"/>
          <w:b/>
        </w:rPr>
      </w:pPr>
    </w:p>
    <w:sdt>
      <w:sdtPr>
        <w:rPr>
          <w:rFonts w:ascii="Arial" w:eastAsia="Calibri" w:hAnsi="Arial" w:cs="Arial"/>
          <w:color w:val="000000"/>
          <w:sz w:val="22"/>
          <w:szCs w:val="22"/>
          <w:lang w:val="en-GB" w:eastAsia="en-GB"/>
        </w:rPr>
        <w:id w:val="-1145277040"/>
        <w:docPartObj>
          <w:docPartGallery w:val="Table of Contents"/>
          <w:docPartUnique/>
        </w:docPartObj>
      </w:sdtPr>
      <w:sdtEndPr>
        <w:rPr>
          <w:b/>
          <w:bCs/>
          <w:noProof/>
        </w:rPr>
      </w:sdtEndPr>
      <w:sdtContent>
        <w:p w14:paraId="6E9A7F5F" w14:textId="0EFB5628" w:rsidR="007A7EB3" w:rsidRPr="00540A44" w:rsidRDefault="00540A44">
          <w:pPr>
            <w:pStyle w:val="TOCHeading"/>
            <w:rPr>
              <w:rFonts w:ascii="Arial" w:hAnsi="Arial" w:cs="Arial"/>
              <w:b/>
              <w:bCs/>
              <w:color w:val="002060"/>
              <w:sz w:val="22"/>
              <w:szCs w:val="22"/>
            </w:rPr>
          </w:pPr>
          <w:r w:rsidRPr="00540A44">
            <w:rPr>
              <w:rFonts w:ascii="Arial" w:hAnsi="Arial" w:cs="Arial"/>
              <w:b/>
              <w:bCs/>
              <w:color w:val="002060"/>
              <w:sz w:val="22"/>
              <w:szCs w:val="22"/>
            </w:rPr>
            <w:t>CONTENTS</w:t>
          </w:r>
        </w:p>
        <w:p w14:paraId="6616BD59" w14:textId="77777777" w:rsidR="004319E4" w:rsidRPr="00540A44" w:rsidRDefault="004319E4" w:rsidP="00540A44">
          <w:pPr>
            <w:ind w:left="0" w:firstLine="0"/>
            <w:rPr>
              <w:rFonts w:ascii="Arial" w:hAnsi="Arial" w:cs="Arial"/>
              <w:sz w:val="10"/>
              <w:szCs w:val="10"/>
              <w:lang w:val="en-US" w:eastAsia="en-US"/>
            </w:rPr>
          </w:pPr>
        </w:p>
        <w:p w14:paraId="2D4376C3" w14:textId="514F7ACF" w:rsidR="00540A44" w:rsidRPr="00540A44" w:rsidRDefault="007A7EB3">
          <w:pPr>
            <w:pStyle w:val="TOC1"/>
            <w:tabs>
              <w:tab w:val="right" w:leader="dot" w:pos="9354"/>
            </w:tabs>
            <w:rPr>
              <w:rFonts w:ascii="Arial" w:eastAsiaTheme="minorEastAsia" w:hAnsi="Arial" w:cs="Arial"/>
              <w:noProof/>
              <w:color w:val="auto"/>
            </w:rPr>
          </w:pPr>
          <w:r w:rsidRPr="00540A44">
            <w:rPr>
              <w:rFonts w:ascii="Arial" w:hAnsi="Arial" w:cs="Arial"/>
            </w:rPr>
            <w:fldChar w:fldCharType="begin"/>
          </w:r>
          <w:r w:rsidRPr="00540A44">
            <w:rPr>
              <w:rFonts w:ascii="Arial" w:hAnsi="Arial" w:cs="Arial"/>
            </w:rPr>
            <w:instrText xml:space="preserve"> TOC \o "1-3" \h \z \u </w:instrText>
          </w:r>
          <w:r w:rsidRPr="00540A44">
            <w:rPr>
              <w:rFonts w:ascii="Arial" w:hAnsi="Arial" w:cs="Arial"/>
            </w:rPr>
            <w:fldChar w:fldCharType="separate"/>
          </w:r>
          <w:hyperlink w:anchor="_Toc30768813" w:history="1">
            <w:r w:rsidR="00540A44" w:rsidRPr="00540A44">
              <w:rPr>
                <w:rStyle w:val="Hyperlink"/>
                <w:rFonts w:ascii="Arial" w:hAnsi="Arial" w:cs="Arial"/>
                <w:noProof/>
              </w:rPr>
              <w:t>ABOUT THIS GUIDANCE</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_Toc30768813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w:t>
            </w:r>
            <w:r w:rsidR="00540A44" w:rsidRPr="00540A44">
              <w:rPr>
                <w:rFonts w:ascii="Arial" w:hAnsi="Arial" w:cs="Arial"/>
                <w:noProof/>
                <w:webHidden/>
              </w:rPr>
              <w:fldChar w:fldCharType="end"/>
            </w:r>
          </w:hyperlink>
        </w:p>
        <w:p w14:paraId="102FEB4A" w14:textId="0903EDA0" w:rsidR="00540A44" w:rsidRPr="00540A44" w:rsidRDefault="00DC1C78">
          <w:pPr>
            <w:pStyle w:val="TOC1"/>
            <w:tabs>
              <w:tab w:val="left" w:pos="720"/>
              <w:tab w:val="right" w:leader="dot" w:pos="9354"/>
            </w:tabs>
            <w:rPr>
              <w:rFonts w:ascii="Arial" w:eastAsiaTheme="minorEastAsia" w:hAnsi="Arial" w:cs="Arial"/>
              <w:noProof/>
              <w:color w:val="auto"/>
            </w:rPr>
          </w:pPr>
          <w:hyperlink w:anchor="_Toc30768814" w:history="1">
            <w:r w:rsidR="00540A44" w:rsidRPr="00540A44">
              <w:rPr>
                <w:rStyle w:val="Hyperlink"/>
                <w:rFonts w:ascii="Arial" w:hAnsi="Arial" w:cs="Arial"/>
                <w:noProof/>
              </w:rPr>
              <w:t xml:space="preserve">1.1  </w:t>
            </w:r>
            <w:r w:rsidR="00540A44" w:rsidRPr="00540A44">
              <w:rPr>
                <w:rFonts w:ascii="Arial" w:eastAsiaTheme="minorEastAsia" w:hAnsi="Arial" w:cs="Arial"/>
                <w:noProof/>
                <w:color w:val="auto"/>
              </w:rPr>
              <w:tab/>
            </w:r>
            <w:r w:rsidR="00540A44" w:rsidRPr="00540A44">
              <w:rPr>
                <w:rStyle w:val="Hyperlink"/>
                <w:rFonts w:ascii="Arial" w:hAnsi="Arial" w:cs="Arial"/>
                <w:noProof/>
              </w:rPr>
              <w:t>The law at a glance</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_Toc30768814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3</w:t>
            </w:r>
            <w:r w:rsidR="00540A44" w:rsidRPr="00540A44">
              <w:rPr>
                <w:rFonts w:ascii="Arial" w:hAnsi="Arial" w:cs="Arial"/>
                <w:noProof/>
                <w:webHidden/>
              </w:rPr>
              <w:fldChar w:fldCharType="end"/>
            </w:r>
          </w:hyperlink>
        </w:p>
        <w:p w14:paraId="19621E32" w14:textId="36F64AD3" w:rsidR="00540A44" w:rsidRPr="00540A44" w:rsidRDefault="00DC1C78">
          <w:pPr>
            <w:pStyle w:val="TOC1"/>
            <w:tabs>
              <w:tab w:val="left" w:pos="720"/>
              <w:tab w:val="right" w:leader="dot" w:pos="9354"/>
            </w:tabs>
            <w:rPr>
              <w:rFonts w:ascii="Arial" w:eastAsiaTheme="minorEastAsia" w:hAnsi="Arial" w:cs="Arial"/>
              <w:noProof/>
              <w:color w:val="auto"/>
            </w:rPr>
          </w:pPr>
          <w:hyperlink w:anchor="_Toc30768815" w:history="1">
            <w:r w:rsidR="00540A44" w:rsidRPr="00540A44">
              <w:rPr>
                <w:rStyle w:val="Hyperlink"/>
                <w:rFonts w:ascii="Arial" w:hAnsi="Arial" w:cs="Arial"/>
                <w:noProof/>
              </w:rPr>
              <w:t xml:space="preserve">1.2 </w:t>
            </w:r>
            <w:r w:rsidR="00540A44" w:rsidRPr="00540A44">
              <w:rPr>
                <w:rFonts w:ascii="Arial" w:eastAsiaTheme="minorEastAsia" w:hAnsi="Arial" w:cs="Arial"/>
                <w:noProof/>
                <w:color w:val="auto"/>
              </w:rPr>
              <w:tab/>
            </w:r>
            <w:r w:rsidR="00540A44" w:rsidRPr="00540A44">
              <w:rPr>
                <w:rStyle w:val="Hyperlink"/>
                <w:rFonts w:ascii="Arial" w:hAnsi="Arial" w:cs="Arial"/>
                <w:noProof/>
              </w:rPr>
              <w:t>Key terms</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_Toc30768815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3</w:t>
            </w:r>
            <w:r w:rsidR="00540A44" w:rsidRPr="00540A44">
              <w:rPr>
                <w:rFonts w:ascii="Arial" w:hAnsi="Arial" w:cs="Arial"/>
                <w:noProof/>
                <w:webHidden/>
              </w:rPr>
              <w:fldChar w:fldCharType="end"/>
            </w:r>
          </w:hyperlink>
        </w:p>
        <w:p w14:paraId="642D335D" w14:textId="444D7A23" w:rsidR="00540A44" w:rsidRPr="00540A44" w:rsidRDefault="00DC1C78">
          <w:pPr>
            <w:pStyle w:val="TOC1"/>
            <w:tabs>
              <w:tab w:val="left" w:pos="720"/>
              <w:tab w:val="right" w:leader="dot" w:pos="9354"/>
            </w:tabs>
            <w:rPr>
              <w:rFonts w:ascii="Arial" w:eastAsiaTheme="minorEastAsia" w:hAnsi="Arial" w:cs="Arial"/>
              <w:noProof/>
              <w:color w:val="auto"/>
            </w:rPr>
          </w:pPr>
          <w:hyperlink w:anchor="_Toc30768816" w:history="1">
            <w:r w:rsidR="00540A44" w:rsidRPr="00540A44">
              <w:rPr>
                <w:rStyle w:val="Hyperlink"/>
                <w:rFonts w:ascii="Arial" w:hAnsi="Arial" w:cs="Arial"/>
                <w:noProof/>
              </w:rPr>
              <w:t xml:space="preserve">1.3  </w:t>
            </w:r>
            <w:r w:rsidR="00540A44" w:rsidRPr="00540A44">
              <w:rPr>
                <w:rFonts w:ascii="Arial" w:eastAsiaTheme="minorEastAsia" w:hAnsi="Arial" w:cs="Arial"/>
                <w:noProof/>
                <w:color w:val="auto"/>
              </w:rPr>
              <w:tab/>
            </w:r>
            <w:r w:rsidR="00540A44" w:rsidRPr="00540A44">
              <w:rPr>
                <w:rStyle w:val="Hyperlink"/>
                <w:rFonts w:ascii="Arial" w:hAnsi="Arial" w:cs="Arial"/>
                <w:noProof/>
              </w:rPr>
              <w:t>Principles of data protection</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_Toc30768816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4</w:t>
            </w:r>
            <w:r w:rsidR="00540A44" w:rsidRPr="00540A44">
              <w:rPr>
                <w:rFonts w:ascii="Arial" w:hAnsi="Arial" w:cs="Arial"/>
                <w:noProof/>
                <w:webHidden/>
              </w:rPr>
              <w:fldChar w:fldCharType="end"/>
            </w:r>
          </w:hyperlink>
        </w:p>
        <w:p w14:paraId="35185066" w14:textId="7B2E4F9D" w:rsidR="00540A44" w:rsidRPr="00540A44" w:rsidRDefault="00DC1C78">
          <w:pPr>
            <w:pStyle w:val="TOC1"/>
            <w:tabs>
              <w:tab w:val="right" w:leader="dot" w:pos="9354"/>
            </w:tabs>
            <w:rPr>
              <w:rFonts w:ascii="Arial" w:eastAsiaTheme="minorEastAsia" w:hAnsi="Arial" w:cs="Arial"/>
              <w:noProof/>
              <w:color w:val="auto"/>
            </w:rPr>
          </w:pPr>
          <w:hyperlink w:anchor="_Toc30768817" w:history="1">
            <w:r w:rsidR="00540A44" w:rsidRPr="00540A44">
              <w:rPr>
                <w:rStyle w:val="Hyperlink"/>
                <w:rFonts w:ascii="Arial" w:hAnsi="Arial" w:cs="Arial"/>
                <w:noProof/>
              </w:rPr>
              <w:t>PART 2: WHAT YOU NEED TO DO</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_Toc30768817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6</w:t>
            </w:r>
            <w:r w:rsidR="00540A44" w:rsidRPr="00540A44">
              <w:rPr>
                <w:rFonts w:ascii="Arial" w:hAnsi="Arial" w:cs="Arial"/>
                <w:noProof/>
                <w:webHidden/>
              </w:rPr>
              <w:fldChar w:fldCharType="end"/>
            </w:r>
          </w:hyperlink>
        </w:p>
        <w:p w14:paraId="00D13C30" w14:textId="3DEB72B3" w:rsidR="00540A44" w:rsidRPr="00540A44" w:rsidRDefault="00DC1C78">
          <w:pPr>
            <w:pStyle w:val="TOC1"/>
            <w:tabs>
              <w:tab w:val="left" w:pos="720"/>
              <w:tab w:val="right" w:leader="dot" w:pos="9354"/>
            </w:tabs>
            <w:rPr>
              <w:rFonts w:ascii="Arial" w:eastAsiaTheme="minorEastAsia" w:hAnsi="Arial" w:cs="Arial"/>
              <w:noProof/>
              <w:color w:val="auto"/>
            </w:rPr>
          </w:pPr>
          <w:hyperlink w:anchor="_Toc30768818" w:history="1">
            <w:r w:rsidR="00540A44" w:rsidRPr="00540A44">
              <w:rPr>
                <w:rStyle w:val="Hyperlink"/>
                <w:rFonts w:ascii="Arial" w:hAnsi="Arial" w:cs="Arial"/>
                <w:noProof/>
              </w:rPr>
              <w:t xml:space="preserve">2.1  </w:t>
            </w:r>
            <w:r w:rsidR="00540A44" w:rsidRPr="00540A44">
              <w:rPr>
                <w:rFonts w:ascii="Arial" w:eastAsiaTheme="minorEastAsia" w:hAnsi="Arial" w:cs="Arial"/>
                <w:noProof/>
                <w:color w:val="auto"/>
              </w:rPr>
              <w:tab/>
            </w:r>
            <w:r w:rsidR="00540A44" w:rsidRPr="00540A44">
              <w:rPr>
                <w:rStyle w:val="Hyperlink"/>
                <w:rFonts w:ascii="Arial" w:hAnsi="Arial" w:cs="Arial"/>
                <w:noProof/>
              </w:rPr>
              <w:t>Key roles and responsibilities</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_Toc30768818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6</w:t>
            </w:r>
            <w:r w:rsidR="00540A44" w:rsidRPr="00540A44">
              <w:rPr>
                <w:rFonts w:ascii="Arial" w:hAnsi="Arial" w:cs="Arial"/>
                <w:noProof/>
                <w:webHidden/>
              </w:rPr>
              <w:fldChar w:fldCharType="end"/>
            </w:r>
          </w:hyperlink>
        </w:p>
        <w:p w14:paraId="75FEBCD3" w14:textId="5893D1EF" w:rsidR="00540A44" w:rsidRPr="00540A44" w:rsidRDefault="00DC1C78">
          <w:pPr>
            <w:pStyle w:val="TOC1"/>
            <w:tabs>
              <w:tab w:val="left" w:pos="720"/>
              <w:tab w:val="right" w:leader="dot" w:pos="9354"/>
            </w:tabs>
            <w:rPr>
              <w:rFonts w:ascii="Arial" w:eastAsiaTheme="minorEastAsia" w:hAnsi="Arial" w:cs="Arial"/>
              <w:noProof/>
              <w:color w:val="auto"/>
            </w:rPr>
          </w:pPr>
          <w:hyperlink w:anchor="_Toc30768819" w:history="1">
            <w:r w:rsidR="00540A44" w:rsidRPr="00540A44">
              <w:rPr>
                <w:rStyle w:val="Hyperlink"/>
                <w:rFonts w:ascii="Arial" w:hAnsi="Arial" w:cs="Arial"/>
                <w:noProof/>
              </w:rPr>
              <w:t xml:space="preserve">2.2  </w:t>
            </w:r>
            <w:r w:rsidR="00540A44" w:rsidRPr="00540A44">
              <w:rPr>
                <w:rFonts w:ascii="Arial" w:eastAsiaTheme="minorEastAsia" w:hAnsi="Arial" w:cs="Arial"/>
                <w:noProof/>
                <w:color w:val="auto"/>
              </w:rPr>
              <w:tab/>
            </w:r>
            <w:r w:rsidR="00540A44" w:rsidRPr="00540A44">
              <w:rPr>
                <w:rStyle w:val="Hyperlink"/>
                <w:rFonts w:ascii="Arial" w:hAnsi="Arial" w:cs="Arial"/>
                <w:noProof/>
              </w:rPr>
              <w:t>Getting people involved</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_Toc30768819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8</w:t>
            </w:r>
            <w:r w:rsidR="00540A44" w:rsidRPr="00540A44">
              <w:rPr>
                <w:rFonts w:ascii="Arial" w:hAnsi="Arial" w:cs="Arial"/>
                <w:noProof/>
                <w:webHidden/>
              </w:rPr>
              <w:fldChar w:fldCharType="end"/>
            </w:r>
          </w:hyperlink>
        </w:p>
        <w:p w14:paraId="489EDE1E" w14:textId="54CD5F80" w:rsidR="00540A44" w:rsidRPr="00540A44" w:rsidRDefault="00DC1C78">
          <w:pPr>
            <w:pStyle w:val="TOC1"/>
            <w:tabs>
              <w:tab w:val="left" w:pos="720"/>
              <w:tab w:val="right" w:leader="dot" w:pos="9354"/>
            </w:tabs>
            <w:rPr>
              <w:rFonts w:ascii="Arial" w:eastAsiaTheme="minorEastAsia" w:hAnsi="Arial" w:cs="Arial"/>
              <w:noProof/>
              <w:color w:val="auto"/>
            </w:rPr>
          </w:pPr>
          <w:hyperlink w:anchor="_Toc30768820" w:history="1">
            <w:r w:rsidR="00540A44" w:rsidRPr="00540A44">
              <w:rPr>
                <w:rStyle w:val="Hyperlink"/>
                <w:rFonts w:ascii="Arial" w:hAnsi="Arial" w:cs="Arial"/>
                <w:noProof/>
              </w:rPr>
              <w:t xml:space="preserve">2.3  </w:t>
            </w:r>
            <w:r w:rsidR="00540A44" w:rsidRPr="00540A44">
              <w:rPr>
                <w:rFonts w:ascii="Arial" w:eastAsiaTheme="minorEastAsia" w:hAnsi="Arial" w:cs="Arial"/>
                <w:noProof/>
                <w:color w:val="auto"/>
              </w:rPr>
              <w:tab/>
            </w:r>
            <w:r w:rsidR="00540A44" w:rsidRPr="00540A44">
              <w:rPr>
                <w:rStyle w:val="Hyperlink"/>
                <w:rFonts w:ascii="Arial" w:hAnsi="Arial" w:cs="Arial"/>
                <w:noProof/>
              </w:rPr>
              <w:t>Demonstrating compliance and accountability</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_Toc30768820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9</w:t>
            </w:r>
            <w:r w:rsidR="00540A44" w:rsidRPr="00540A44">
              <w:rPr>
                <w:rFonts w:ascii="Arial" w:hAnsi="Arial" w:cs="Arial"/>
                <w:noProof/>
                <w:webHidden/>
              </w:rPr>
              <w:fldChar w:fldCharType="end"/>
            </w:r>
          </w:hyperlink>
        </w:p>
        <w:p w14:paraId="11BC06D5" w14:textId="50124EF4" w:rsidR="00540A44" w:rsidRPr="00540A44" w:rsidRDefault="00DC1C78">
          <w:pPr>
            <w:pStyle w:val="TOC1"/>
            <w:tabs>
              <w:tab w:val="left" w:pos="720"/>
              <w:tab w:val="right" w:leader="dot" w:pos="9354"/>
            </w:tabs>
            <w:rPr>
              <w:rFonts w:ascii="Arial" w:eastAsiaTheme="minorEastAsia" w:hAnsi="Arial" w:cs="Arial"/>
              <w:noProof/>
              <w:color w:val="auto"/>
            </w:rPr>
          </w:pPr>
          <w:hyperlink w:anchor="_Toc30768821" w:history="1">
            <w:r w:rsidR="00540A44" w:rsidRPr="00540A44">
              <w:rPr>
                <w:rStyle w:val="Hyperlink"/>
                <w:rFonts w:ascii="Arial" w:hAnsi="Arial" w:cs="Arial"/>
                <w:noProof/>
              </w:rPr>
              <w:t xml:space="preserve">2.4  </w:t>
            </w:r>
            <w:r w:rsidR="00540A44" w:rsidRPr="00540A44">
              <w:rPr>
                <w:rFonts w:ascii="Arial" w:eastAsiaTheme="minorEastAsia" w:hAnsi="Arial" w:cs="Arial"/>
                <w:noProof/>
                <w:color w:val="auto"/>
              </w:rPr>
              <w:tab/>
            </w:r>
            <w:r w:rsidR="00540A44" w:rsidRPr="00540A44">
              <w:rPr>
                <w:rStyle w:val="Hyperlink"/>
                <w:rFonts w:ascii="Arial" w:hAnsi="Arial" w:cs="Arial"/>
                <w:noProof/>
              </w:rPr>
              <w:t>Identifying the lawful basis for processing personal data</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_Toc30768821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10</w:t>
            </w:r>
            <w:r w:rsidR="00540A44" w:rsidRPr="00540A44">
              <w:rPr>
                <w:rFonts w:ascii="Arial" w:hAnsi="Arial" w:cs="Arial"/>
                <w:noProof/>
                <w:webHidden/>
              </w:rPr>
              <w:fldChar w:fldCharType="end"/>
            </w:r>
          </w:hyperlink>
        </w:p>
        <w:p w14:paraId="755EDC5D" w14:textId="65C6E039" w:rsidR="00540A44" w:rsidRPr="00540A44" w:rsidRDefault="00DC1C78">
          <w:pPr>
            <w:pStyle w:val="TOC1"/>
            <w:tabs>
              <w:tab w:val="right" w:leader="dot" w:pos="9354"/>
            </w:tabs>
            <w:rPr>
              <w:rFonts w:ascii="Arial" w:eastAsiaTheme="minorEastAsia" w:hAnsi="Arial" w:cs="Arial"/>
              <w:noProof/>
              <w:color w:val="auto"/>
            </w:rPr>
          </w:pPr>
          <w:hyperlink w:anchor="_Toc30768822" w:history="1">
            <w:r w:rsidR="00540A44" w:rsidRPr="00540A44">
              <w:rPr>
                <w:rStyle w:val="Hyperlink"/>
                <w:rFonts w:ascii="Arial" w:hAnsi="Arial" w:cs="Arial"/>
                <w:noProof/>
              </w:rPr>
              <w:t>Patient data</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_Toc30768822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11</w:t>
            </w:r>
            <w:r w:rsidR="00540A44" w:rsidRPr="00540A44">
              <w:rPr>
                <w:rFonts w:ascii="Arial" w:hAnsi="Arial" w:cs="Arial"/>
                <w:noProof/>
                <w:webHidden/>
              </w:rPr>
              <w:fldChar w:fldCharType="end"/>
            </w:r>
          </w:hyperlink>
        </w:p>
        <w:p w14:paraId="5338C476" w14:textId="00556636" w:rsidR="00540A44" w:rsidRPr="00540A44" w:rsidRDefault="00DC1C78">
          <w:pPr>
            <w:pStyle w:val="TOC1"/>
            <w:tabs>
              <w:tab w:val="right" w:leader="dot" w:pos="9354"/>
            </w:tabs>
            <w:rPr>
              <w:rFonts w:ascii="Arial" w:eastAsiaTheme="minorEastAsia" w:hAnsi="Arial" w:cs="Arial"/>
              <w:noProof/>
              <w:color w:val="auto"/>
            </w:rPr>
          </w:pPr>
          <w:hyperlink w:anchor="_Toc30768823" w:history="1">
            <w:r w:rsidR="00540A44" w:rsidRPr="00540A44">
              <w:rPr>
                <w:rStyle w:val="Hyperlink"/>
                <w:rFonts w:ascii="Arial" w:hAnsi="Arial" w:cs="Arial"/>
                <w:noProof/>
              </w:rPr>
              <w:t>Customer and marketing data</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_Toc30768823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11</w:t>
            </w:r>
            <w:r w:rsidR="00540A44" w:rsidRPr="00540A44">
              <w:rPr>
                <w:rFonts w:ascii="Arial" w:hAnsi="Arial" w:cs="Arial"/>
                <w:noProof/>
                <w:webHidden/>
              </w:rPr>
              <w:fldChar w:fldCharType="end"/>
            </w:r>
          </w:hyperlink>
        </w:p>
        <w:p w14:paraId="43D5B344" w14:textId="6E77BDC8" w:rsidR="00540A44" w:rsidRPr="00540A44" w:rsidRDefault="00DC1C78">
          <w:pPr>
            <w:pStyle w:val="TOC1"/>
            <w:tabs>
              <w:tab w:val="right" w:leader="dot" w:pos="9354"/>
            </w:tabs>
            <w:rPr>
              <w:rFonts w:ascii="Arial" w:eastAsiaTheme="minorEastAsia" w:hAnsi="Arial" w:cs="Arial"/>
              <w:noProof/>
              <w:color w:val="auto"/>
            </w:rPr>
          </w:pPr>
          <w:hyperlink w:anchor="_Toc30768824" w:history="1">
            <w:r w:rsidR="00540A44" w:rsidRPr="00540A44">
              <w:rPr>
                <w:rStyle w:val="Hyperlink"/>
                <w:rFonts w:ascii="Arial" w:hAnsi="Arial" w:cs="Arial"/>
                <w:noProof/>
              </w:rPr>
              <w:t>Employee Records and Data</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_Toc30768824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12</w:t>
            </w:r>
            <w:r w:rsidR="00540A44" w:rsidRPr="00540A44">
              <w:rPr>
                <w:rFonts w:ascii="Arial" w:hAnsi="Arial" w:cs="Arial"/>
                <w:noProof/>
                <w:webHidden/>
              </w:rPr>
              <w:fldChar w:fldCharType="end"/>
            </w:r>
          </w:hyperlink>
        </w:p>
        <w:p w14:paraId="784B0DB8" w14:textId="7DE480BC" w:rsidR="00540A44" w:rsidRPr="00540A44" w:rsidRDefault="00DC1C78">
          <w:pPr>
            <w:pStyle w:val="TOC1"/>
            <w:tabs>
              <w:tab w:val="right" w:leader="dot" w:pos="9354"/>
            </w:tabs>
            <w:rPr>
              <w:rFonts w:ascii="Arial" w:eastAsiaTheme="minorEastAsia" w:hAnsi="Arial" w:cs="Arial"/>
              <w:noProof/>
              <w:color w:val="auto"/>
            </w:rPr>
          </w:pPr>
          <w:hyperlink w:anchor="_Toc30768825" w:history="1">
            <w:r w:rsidR="00540A44" w:rsidRPr="00540A44">
              <w:rPr>
                <w:rStyle w:val="Hyperlink"/>
                <w:rFonts w:ascii="Arial" w:hAnsi="Arial" w:cs="Arial"/>
                <w:noProof/>
              </w:rPr>
              <w:t>Health care records</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_Toc30768825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12</w:t>
            </w:r>
            <w:r w:rsidR="00540A44" w:rsidRPr="00540A44">
              <w:rPr>
                <w:rFonts w:ascii="Arial" w:hAnsi="Arial" w:cs="Arial"/>
                <w:noProof/>
                <w:webHidden/>
              </w:rPr>
              <w:fldChar w:fldCharType="end"/>
            </w:r>
          </w:hyperlink>
        </w:p>
        <w:p w14:paraId="725A39C3" w14:textId="20323701" w:rsidR="00540A44" w:rsidRPr="00540A44" w:rsidRDefault="00DC1C78">
          <w:pPr>
            <w:pStyle w:val="TOC1"/>
            <w:tabs>
              <w:tab w:val="right" w:leader="dot" w:pos="9354"/>
            </w:tabs>
            <w:rPr>
              <w:rFonts w:ascii="Arial" w:eastAsiaTheme="minorEastAsia" w:hAnsi="Arial" w:cs="Arial"/>
              <w:noProof/>
              <w:color w:val="auto"/>
            </w:rPr>
          </w:pPr>
          <w:hyperlink w:anchor="_Toc30768826" w:history="1">
            <w:r w:rsidR="00540A44" w:rsidRPr="00540A44">
              <w:rPr>
                <w:rStyle w:val="Hyperlink"/>
                <w:rFonts w:ascii="Arial" w:hAnsi="Arial" w:cs="Arial"/>
                <w:noProof/>
              </w:rPr>
              <w:t>Patient correspondence</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_Toc30768826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13</w:t>
            </w:r>
            <w:r w:rsidR="00540A44" w:rsidRPr="00540A44">
              <w:rPr>
                <w:rFonts w:ascii="Arial" w:hAnsi="Arial" w:cs="Arial"/>
                <w:noProof/>
                <w:webHidden/>
              </w:rPr>
              <w:fldChar w:fldCharType="end"/>
            </w:r>
          </w:hyperlink>
        </w:p>
        <w:p w14:paraId="0A66D9AA" w14:textId="3A5DEA8B" w:rsidR="00540A44" w:rsidRPr="00540A44" w:rsidRDefault="00DC1C78">
          <w:pPr>
            <w:pStyle w:val="TOC1"/>
            <w:tabs>
              <w:tab w:val="right" w:leader="dot" w:pos="9354"/>
            </w:tabs>
            <w:rPr>
              <w:rFonts w:ascii="Arial" w:eastAsiaTheme="minorEastAsia" w:hAnsi="Arial" w:cs="Arial"/>
              <w:noProof/>
              <w:color w:val="auto"/>
            </w:rPr>
          </w:pPr>
          <w:hyperlink w:anchor="_Toc30768827" w:history="1">
            <w:r w:rsidR="00540A44" w:rsidRPr="00540A44">
              <w:rPr>
                <w:rStyle w:val="Hyperlink"/>
                <w:rFonts w:ascii="Arial" w:hAnsi="Arial" w:cs="Arial"/>
                <w:noProof/>
              </w:rPr>
              <w:t>Referrals</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_Toc30768827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13</w:t>
            </w:r>
            <w:r w:rsidR="00540A44" w:rsidRPr="00540A44">
              <w:rPr>
                <w:rFonts w:ascii="Arial" w:hAnsi="Arial" w:cs="Arial"/>
                <w:noProof/>
                <w:webHidden/>
              </w:rPr>
              <w:fldChar w:fldCharType="end"/>
            </w:r>
          </w:hyperlink>
        </w:p>
        <w:p w14:paraId="26B910EC" w14:textId="376630DF" w:rsidR="00540A44" w:rsidRPr="00540A44" w:rsidRDefault="00DC1C78">
          <w:pPr>
            <w:pStyle w:val="TOC1"/>
            <w:tabs>
              <w:tab w:val="right" w:leader="dot" w:pos="9354"/>
            </w:tabs>
            <w:rPr>
              <w:rFonts w:ascii="Arial" w:eastAsiaTheme="minorEastAsia" w:hAnsi="Arial" w:cs="Arial"/>
              <w:noProof/>
              <w:color w:val="auto"/>
            </w:rPr>
          </w:pPr>
          <w:hyperlink w:anchor="_Toc30768828" w:history="1">
            <w:r w:rsidR="00540A44" w:rsidRPr="00540A44">
              <w:rPr>
                <w:rStyle w:val="Hyperlink"/>
                <w:rFonts w:ascii="Arial" w:hAnsi="Arial" w:cs="Arial"/>
                <w:noProof/>
              </w:rPr>
              <w:t>Customer data for other purposes – e.g. advertising and marketing</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_Toc30768828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13</w:t>
            </w:r>
            <w:r w:rsidR="00540A44" w:rsidRPr="00540A44">
              <w:rPr>
                <w:rFonts w:ascii="Arial" w:hAnsi="Arial" w:cs="Arial"/>
                <w:noProof/>
                <w:webHidden/>
              </w:rPr>
              <w:fldChar w:fldCharType="end"/>
            </w:r>
          </w:hyperlink>
        </w:p>
        <w:p w14:paraId="24CAF01F" w14:textId="15F16CB6" w:rsidR="00540A44" w:rsidRPr="00540A44" w:rsidRDefault="00DC1C78">
          <w:pPr>
            <w:pStyle w:val="TOC1"/>
            <w:tabs>
              <w:tab w:val="left" w:pos="720"/>
              <w:tab w:val="right" w:leader="dot" w:pos="9354"/>
            </w:tabs>
            <w:rPr>
              <w:rFonts w:ascii="Arial" w:eastAsiaTheme="minorEastAsia" w:hAnsi="Arial" w:cs="Arial"/>
              <w:noProof/>
              <w:color w:val="auto"/>
            </w:rPr>
          </w:pPr>
          <w:hyperlink w:anchor="_Toc30768829" w:history="1">
            <w:r w:rsidR="00540A44" w:rsidRPr="00540A44">
              <w:rPr>
                <w:rStyle w:val="Hyperlink"/>
                <w:rFonts w:ascii="Arial" w:hAnsi="Arial" w:cs="Arial"/>
                <w:noProof/>
              </w:rPr>
              <w:t xml:space="preserve">2.6  </w:t>
            </w:r>
            <w:r w:rsidR="00540A44" w:rsidRPr="00540A44">
              <w:rPr>
                <w:rFonts w:ascii="Arial" w:eastAsiaTheme="minorEastAsia" w:hAnsi="Arial" w:cs="Arial"/>
                <w:noProof/>
                <w:color w:val="auto"/>
              </w:rPr>
              <w:tab/>
            </w:r>
            <w:r w:rsidR="00540A44" w:rsidRPr="00540A44">
              <w:rPr>
                <w:rStyle w:val="Hyperlink"/>
                <w:rFonts w:ascii="Arial" w:hAnsi="Arial" w:cs="Arial"/>
                <w:noProof/>
              </w:rPr>
              <w:t>Understanding and complying with individual rights</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_Toc30768829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13</w:t>
            </w:r>
            <w:r w:rsidR="00540A44" w:rsidRPr="00540A44">
              <w:rPr>
                <w:rFonts w:ascii="Arial" w:hAnsi="Arial" w:cs="Arial"/>
                <w:noProof/>
                <w:webHidden/>
              </w:rPr>
              <w:fldChar w:fldCharType="end"/>
            </w:r>
          </w:hyperlink>
        </w:p>
        <w:p w14:paraId="186AAC8E" w14:textId="753BDF1E" w:rsidR="00540A44" w:rsidRPr="00540A44" w:rsidRDefault="00DC1C78">
          <w:pPr>
            <w:pStyle w:val="TOC1"/>
            <w:tabs>
              <w:tab w:val="right" w:leader="dot" w:pos="9354"/>
            </w:tabs>
            <w:rPr>
              <w:rFonts w:ascii="Arial" w:eastAsiaTheme="minorEastAsia" w:hAnsi="Arial" w:cs="Arial"/>
              <w:noProof/>
              <w:color w:val="auto"/>
            </w:rPr>
          </w:pPr>
          <w:hyperlink w:anchor="_Toc30768830" w:history="1">
            <w:r w:rsidR="00540A44" w:rsidRPr="00540A44">
              <w:rPr>
                <w:rStyle w:val="Hyperlink"/>
                <w:rFonts w:ascii="Arial" w:hAnsi="Arial" w:cs="Arial"/>
                <w:noProof/>
              </w:rPr>
              <w:t>Right to be informed: privacy notices</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_Toc30768830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14</w:t>
            </w:r>
            <w:r w:rsidR="00540A44" w:rsidRPr="00540A44">
              <w:rPr>
                <w:rFonts w:ascii="Arial" w:hAnsi="Arial" w:cs="Arial"/>
                <w:noProof/>
                <w:webHidden/>
              </w:rPr>
              <w:fldChar w:fldCharType="end"/>
            </w:r>
          </w:hyperlink>
        </w:p>
        <w:p w14:paraId="4F6A8E83" w14:textId="287DE18B" w:rsidR="00540A44" w:rsidRPr="00540A44" w:rsidRDefault="00DC1C78">
          <w:pPr>
            <w:pStyle w:val="TOC1"/>
            <w:tabs>
              <w:tab w:val="right" w:leader="dot" w:pos="9354"/>
            </w:tabs>
            <w:rPr>
              <w:rFonts w:ascii="Arial" w:eastAsiaTheme="minorEastAsia" w:hAnsi="Arial" w:cs="Arial"/>
              <w:noProof/>
              <w:color w:val="auto"/>
            </w:rPr>
          </w:pPr>
          <w:hyperlink w:anchor="_Toc30768831" w:history="1">
            <w:r w:rsidR="00540A44" w:rsidRPr="00540A44">
              <w:rPr>
                <w:rStyle w:val="Hyperlink"/>
                <w:rFonts w:ascii="Arial" w:hAnsi="Arial" w:cs="Arial"/>
                <w:noProof/>
              </w:rPr>
              <w:t>Right to access: responding to requests</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_Toc30768831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14</w:t>
            </w:r>
            <w:r w:rsidR="00540A44" w:rsidRPr="00540A44">
              <w:rPr>
                <w:rFonts w:ascii="Arial" w:hAnsi="Arial" w:cs="Arial"/>
                <w:noProof/>
                <w:webHidden/>
              </w:rPr>
              <w:fldChar w:fldCharType="end"/>
            </w:r>
          </w:hyperlink>
        </w:p>
        <w:p w14:paraId="45EA2A01" w14:textId="0CFD4C5C" w:rsidR="00540A44" w:rsidRPr="00540A44" w:rsidRDefault="00DC1C78">
          <w:pPr>
            <w:pStyle w:val="TOC1"/>
            <w:tabs>
              <w:tab w:val="right" w:leader="dot" w:pos="9354"/>
            </w:tabs>
            <w:rPr>
              <w:rFonts w:ascii="Arial" w:eastAsiaTheme="minorEastAsia" w:hAnsi="Arial" w:cs="Arial"/>
              <w:noProof/>
              <w:color w:val="auto"/>
            </w:rPr>
          </w:pPr>
          <w:hyperlink w:anchor="_Toc30768832" w:history="1">
            <w:r w:rsidR="00540A44" w:rsidRPr="00540A44">
              <w:rPr>
                <w:rStyle w:val="Hyperlink"/>
                <w:rFonts w:ascii="Arial" w:hAnsi="Arial" w:cs="Arial"/>
                <w:noProof/>
              </w:rPr>
              <w:t>Right to erasure: right to be forgotten</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_Toc30768832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15</w:t>
            </w:r>
            <w:r w:rsidR="00540A44" w:rsidRPr="00540A44">
              <w:rPr>
                <w:rFonts w:ascii="Arial" w:hAnsi="Arial" w:cs="Arial"/>
                <w:noProof/>
                <w:webHidden/>
              </w:rPr>
              <w:fldChar w:fldCharType="end"/>
            </w:r>
          </w:hyperlink>
        </w:p>
        <w:p w14:paraId="435A5037" w14:textId="4BDF5C55" w:rsidR="00540A44" w:rsidRPr="00540A44" w:rsidRDefault="00DC1C78">
          <w:pPr>
            <w:pStyle w:val="TOC1"/>
            <w:tabs>
              <w:tab w:val="right" w:leader="dot" w:pos="9354"/>
            </w:tabs>
            <w:rPr>
              <w:rFonts w:ascii="Arial" w:eastAsiaTheme="minorEastAsia" w:hAnsi="Arial" w:cs="Arial"/>
              <w:noProof/>
              <w:color w:val="auto"/>
            </w:rPr>
          </w:pPr>
          <w:hyperlink w:anchor="_Toc30768833" w:history="1">
            <w:r w:rsidR="00540A44" w:rsidRPr="00540A44">
              <w:rPr>
                <w:rStyle w:val="Hyperlink"/>
                <w:rFonts w:ascii="Arial" w:hAnsi="Arial" w:cs="Arial"/>
                <w:noProof/>
              </w:rPr>
              <w:t>National data opt out</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_Toc30768833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15</w:t>
            </w:r>
            <w:r w:rsidR="00540A44" w:rsidRPr="00540A44">
              <w:rPr>
                <w:rFonts w:ascii="Arial" w:hAnsi="Arial" w:cs="Arial"/>
                <w:noProof/>
                <w:webHidden/>
              </w:rPr>
              <w:fldChar w:fldCharType="end"/>
            </w:r>
          </w:hyperlink>
        </w:p>
        <w:p w14:paraId="7AC41E60" w14:textId="5FA97FFE" w:rsidR="00540A44" w:rsidRPr="00540A44" w:rsidRDefault="00DC1C78">
          <w:pPr>
            <w:pStyle w:val="TOC1"/>
            <w:tabs>
              <w:tab w:val="right" w:leader="dot" w:pos="9354"/>
            </w:tabs>
            <w:rPr>
              <w:rFonts w:ascii="Arial" w:eastAsiaTheme="minorEastAsia" w:hAnsi="Arial" w:cs="Arial"/>
              <w:noProof/>
              <w:color w:val="auto"/>
            </w:rPr>
          </w:pPr>
          <w:hyperlink w:anchor="_Toc30768834" w:history="1">
            <w:r w:rsidR="00540A44" w:rsidRPr="00540A44">
              <w:rPr>
                <w:rStyle w:val="Hyperlink"/>
                <w:rFonts w:ascii="Arial" w:hAnsi="Arial" w:cs="Arial"/>
                <w:noProof/>
              </w:rPr>
              <w:t>Preventing a data breach</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_Toc30768834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15</w:t>
            </w:r>
            <w:r w:rsidR="00540A44" w:rsidRPr="00540A44">
              <w:rPr>
                <w:rFonts w:ascii="Arial" w:hAnsi="Arial" w:cs="Arial"/>
                <w:noProof/>
                <w:webHidden/>
              </w:rPr>
              <w:fldChar w:fldCharType="end"/>
            </w:r>
          </w:hyperlink>
        </w:p>
        <w:p w14:paraId="50CE4541" w14:textId="0ECCF90D" w:rsidR="00540A44" w:rsidRPr="00540A44" w:rsidRDefault="00DC1C78">
          <w:pPr>
            <w:pStyle w:val="TOC1"/>
            <w:tabs>
              <w:tab w:val="right" w:leader="dot" w:pos="9354"/>
            </w:tabs>
            <w:rPr>
              <w:rFonts w:ascii="Arial" w:eastAsiaTheme="minorEastAsia" w:hAnsi="Arial" w:cs="Arial"/>
              <w:noProof/>
              <w:color w:val="auto"/>
            </w:rPr>
          </w:pPr>
          <w:hyperlink w:anchor="_Toc30768835" w:history="1">
            <w:r w:rsidR="00540A44" w:rsidRPr="00540A44">
              <w:rPr>
                <w:rStyle w:val="Hyperlink"/>
                <w:rFonts w:ascii="Arial" w:hAnsi="Arial" w:cs="Arial"/>
                <w:noProof/>
              </w:rPr>
              <w:t>Action in the event of a data breach</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_Toc30768835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16</w:t>
            </w:r>
            <w:r w:rsidR="00540A44" w:rsidRPr="00540A44">
              <w:rPr>
                <w:rFonts w:ascii="Arial" w:hAnsi="Arial" w:cs="Arial"/>
                <w:noProof/>
                <w:webHidden/>
              </w:rPr>
              <w:fldChar w:fldCharType="end"/>
            </w:r>
          </w:hyperlink>
        </w:p>
        <w:p w14:paraId="1443BC89" w14:textId="55A14744" w:rsidR="00540A44" w:rsidRPr="00540A44" w:rsidRDefault="00DC1C78">
          <w:pPr>
            <w:pStyle w:val="TOC1"/>
            <w:tabs>
              <w:tab w:val="right" w:leader="dot" w:pos="9354"/>
            </w:tabs>
            <w:rPr>
              <w:rFonts w:ascii="Arial" w:eastAsiaTheme="minorEastAsia" w:hAnsi="Arial" w:cs="Arial"/>
              <w:noProof/>
              <w:color w:val="auto"/>
            </w:rPr>
          </w:pPr>
          <w:hyperlink w:anchor="_Toc30768836" w:history="1">
            <w:r w:rsidR="00540A44" w:rsidRPr="00540A44">
              <w:rPr>
                <w:rStyle w:val="Hyperlink"/>
                <w:rFonts w:ascii="Arial" w:hAnsi="Arial" w:cs="Arial"/>
                <w:noProof/>
              </w:rPr>
              <w:t>Informing individuals affected</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_Toc30768836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17</w:t>
            </w:r>
            <w:r w:rsidR="00540A44" w:rsidRPr="00540A44">
              <w:rPr>
                <w:rFonts w:ascii="Arial" w:hAnsi="Arial" w:cs="Arial"/>
                <w:noProof/>
                <w:webHidden/>
              </w:rPr>
              <w:fldChar w:fldCharType="end"/>
            </w:r>
          </w:hyperlink>
        </w:p>
        <w:p w14:paraId="05A49928" w14:textId="2818985B" w:rsidR="00540A44" w:rsidRPr="00540A44" w:rsidRDefault="00DC1C78">
          <w:pPr>
            <w:pStyle w:val="TOC1"/>
            <w:tabs>
              <w:tab w:val="left" w:pos="720"/>
              <w:tab w:val="right" w:leader="dot" w:pos="9354"/>
            </w:tabs>
            <w:rPr>
              <w:rFonts w:ascii="Arial" w:eastAsiaTheme="minorEastAsia" w:hAnsi="Arial" w:cs="Arial"/>
              <w:noProof/>
              <w:color w:val="auto"/>
            </w:rPr>
          </w:pPr>
          <w:hyperlink w:anchor="_Toc30768837" w:history="1">
            <w:r w:rsidR="00540A44" w:rsidRPr="00540A44">
              <w:rPr>
                <w:rStyle w:val="Hyperlink"/>
                <w:rFonts w:ascii="Arial" w:hAnsi="Arial" w:cs="Arial"/>
                <w:noProof/>
              </w:rPr>
              <w:t xml:space="preserve">2.8  </w:t>
            </w:r>
            <w:r w:rsidR="00540A44" w:rsidRPr="00540A44">
              <w:rPr>
                <w:rFonts w:ascii="Arial" w:eastAsiaTheme="minorEastAsia" w:hAnsi="Arial" w:cs="Arial"/>
                <w:noProof/>
                <w:color w:val="auto"/>
              </w:rPr>
              <w:tab/>
            </w:r>
            <w:r w:rsidR="00540A44" w:rsidRPr="00540A44">
              <w:rPr>
                <w:rStyle w:val="Hyperlink"/>
                <w:rFonts w:ascii="Arial" w:hAnsi="Arial" w:cs="Arial"/>
                <w:noProof/>
              </w:rPr>
              <w:t>Further information</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_Toc30768837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17</w:t>
            </w:r>
            <w:r w:rsidR="00540A44" w:rsidRPr="00540A44">
              <w:rPr>
                <w:rFonts w:ascii="Arial" w:hAnsi="Arial" w:cs="Arial"/>
                <w:noProof/>
                <w:webHidden/>
              </w:rPr>
              <w:fldChar w:fldCharType="end"/>
            </w:r>
          </w:hyperlink>
        </w:p>
        <w:p w14:paraId="16944EA7" w14:textId="689368B7" w:rsidR="00540A44" w:rsidRPr="00540A44" w:rsidRDefault="00DC1C78">
          <w:pPr>
            <w:pStyle w:val="TOC1"/>
            <w:tabs>
              <w:tab w:val="right" w:leader="dot" w:pos="9354"/>
            </w:tabs>
            <w:rPr>
              <w:rFonts w:ascii="Arial" w:eastAsiaTheme="minorEastAsia" w:hAnsi="Arial" w:cs="Arial"/>
              <w:noProof/>
              <w:color w:val="auto"/>
            </w:rPr>
          </w:pPr>
          <w:hyperlink w:anchor="_Toc30768838" w:history="1">
            <w:r w:rsidR="00540A44" w:rsidRPr="00540A44">
              <w:rPr>
                <w:rStyle w:val="Hyperlink"/>
                <w:rFonts w:ascii="Arial" w:hAnsi="Arial" w:cs="Arial"/>
                <w:noProof/>
              </w:rPr>
              <w:t>Annex A – EXAMPLE OF RECORD KEEPING IN TYPICAL PRACTICE</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_Toc30768838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18</w:t>
            </w:r>
            <w:r w:rsidR="00540A44" w:rsidRPr="00540A44">
              <w:rPr>
                <w:rFonts w:ascii="Arial" w:hAnsi="Arial" w:cs="Arial"/>
                <w:noProof/>
                <w:webHidden/>
              </w:rPr>
              <w:fldChar w:fldCharType="end"/>
            </w:r>
          </w:hyperlink>
        </w:p>
        <w:p w14:paraId="529A1C35" w14:textId="7CF356D1" w:rsidR="00540A44" w:rsidRPr="00540A44" w:rsidRDefault="00DC1C78">
          <w:pPr>
            <w:pStyle w:val="TOC1"/>
            <w:tabs>
              <w:tab w:val="right" w:leader="dot" w:pos="9354"/>
            </w:tabs>
            <w:rPr>
              <w:rFonts w:ascii="Arial" w:eastAsiaTheme="minorEastAsia" w:hAnsi="Arial" w:cs="Arial"/>
              <w:noProof/>
              <w:color w:val="auto"/>
            </w:rPr>
          </w:pPr>
          <w:hyperlink w:anchor="_Toc30768839" w:history="1">
            <w:r w:rsidR="00540A44" w:rsidRPr="00540A44">
              <w:rPr>
                <w:rStyle w:val="Hyperlink"/>
                <w:rFonts w:ascii="Arial" w:hAnsi="Arial" w:cs="Arial"/>
                <w:noProof/>
              </w:rPr>
              <w:t>Annex B – LAWFUL BASES FOR PROCESSING PERSONAL DATA</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_Toc30768839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20</w:t>
            </w:r>
            <w:r w:rsidR="00540A44" w:rsidRPr="00540A44">
              <w:rPr>
                <w:rFonts w:ascii="Arial" w:hAnsi="Arial" w:cs="Arial"/>
                <w:noProof/>
                <w:webHidden/>
              </w:rPr>
              <w:fldChar w:fldCharType="end"/>
            </w:r>
          </w:hyperlink>
        </w:p>
        <w:p w14:paraId="7D38F84A" w14:textId="79151D0B" w:rsidR="00540A44" w:rsidRPr="00540A44" w:rsidRDefault="00DC1C78">
          <w:pPr>
            <w:pStyle w:val="TOC1"/>
            <w:tabs>
              <w:tab w:val="right" w:leader="dot" w:pos="9354"/>
            </w:tabs>
            <w:rPr>
              <w:rFonts w:ascii="Arial" w:eastAsiaTheme="minorEastAsia" w:hAnsi="Arial" w:cs="Arial"/>
              <w:noProof/>
              <w:color w:val="auto"/>
            </w:rPr>
          </w:pPr>
          <w:hyperlink w:anchor="_Toc30768840" w:history="1">
            <w:r w:rsidR="00540A44" w:rsidRPr="00540A44">
              <w:rPr>
                <w:rStyle w:val="Hyperlink"/>
                <w:rFonts w:ascii="Arial" w:hAnsi="Arial" w:cs="Arial"/>
                <w:noProof/>
              </w:rPr>
              <w:t>Annex C - INDIVIDUAL RIGHTS</w:t>
            </w:r>
            <w:r w:rsidR="00540A44" w:rsidRPr="00540A44">
              <w:rPr>
                <w:rFonts w:ascii="Arial" w:hAnsi="Arial" w:cs="Arial"/>
                <w:noProof/>
                <w:webHidden/>
              </w:rPr>
              <w:tab/>
            </w:r>
            <w:r w:rsidR="00540A44" w:rsidRPr="00540A44">
              <w:rPr>
                <w:rFonts w:ascii="Arial" w:hAnsi="Arial" w:cs="Arial"/>
                <w:noProof/>
                <w:webHidden/>
              </w:rPr>
              <w:fldChar w:fldCharType="begin"/>
            </w:r>
            <w:r w:rsidR="00540A44" w:rsidRPr="00540A44">
              <w:rPr>
                <w:rFonts w:ascii="Arial" w:hAnsi="Arial" w:cs="Arial"/>
                <w:noProof/>
                <w:webHidden/>
              </w:rPr>
              <w:instrText xml:space="preserve"> PAGEREF _Toc30768840 \h </w:instrText>
            </w:r>
            <w:r w:rsidR="00540A44" w:rsidRPr="00540A44">
              <w:rPr>
                <w:rFonts w:ascii="Arial" w:hAnsi="Arial" w:cs="Arial"/>
                <w:noProof/>
                <w:webHidden/>
              </w:rPr>
            </w:r>
            <w:r w:rsidR="00540A44" w:rsidRPr="00540A44">
              <w:rPr>
                <w:rFonts w:ascii="Arial" w:hAnsi="Arial" w:cs="Arial"/>
                <w:noProof/>
                <w:webHidden/>
              </w:rPr>
              <w:fldChar w:fldCharType="separate"/>
            </w:r>
            <w:r w:rsidR="00540A44" w:rsidRPr="00540A44">
              <w:rPr>
                <w:rFonts w:ascii="Arial" w:hAnsi="Arial" w:cs="Arial"/>
                <w:noProof/>
                <w:webHidden/>
              </w:rPr>
              <w:t>22</w:t>
            </w:r>
            <w:r w:rsidR="00540A44" w:rsidRPr="00540A44">
              <w:rPr>
                <w:rFonts w:ascii="Arial" w:hAnsi="Arial" w:cs="Arial"/>
                <w:noProof/>
                <w:webHidden/>
              </w:rPr>
              <w:fldChar w:fldCharType="end"/>
            </w:r>
          </w:hyperlink>
        </w:p>
        <w:p w14:paraId="38155FCA" w14:textId="0D9A2353" w:rsidR="007A7EB3" w:rsidRPr="00D71A4F" w:rsidRDefault="007A7EB3">
          <w:pPr>
            <w:rPr>
              <w:rFonts w:ascii="Arial" w:hAnsi="Arial" w:cs="Arial"/>
            </w:rPr>
          </w:pPr>
          <w:r w:rsidRPr="00540A44">
            <w:rPr>
              <w:rFonts w:ascii="Arial" w:hAnsi="Arial" w:cs="Arial"/>
              <w:b/>
              <w:bCs/>
              <w:noProof/>
            </w:rPr>
            <w:fldChar w:fldCharType="end"/>
          </w:r>
        </w:p>
      </w:sdtContent>
    </w:sdt>
    <w:p w14:paraId="3229B922" w14:textId="77777777" w:rsidR="00540A44" w:rsidRDefault="00540A44">
      <w:pPr>
        <w:spacing w:after="160" w:line="259" w:lineRule="auto"/>
        <w:ind w:left="0" w:firstLine="0"/>
        <w:rPr>
          <w:rFonts w:ascii="Arial" w:hAnsi="Arial" w:cs="Arial"/>
          <w:b/>
        </w:rPr>
      </w:pPr>
      <w:r>
        <w:rPr>
          <w:rFonts w:ascii="Arial" w:hAnsi="Arial" w:cs="Arial"/>
          <w:b/>
        </w:rPr>
        <w:br w:type="page"/>
      </w:r>
    </w:p>
    <w:p w14:paraId="2BC3AEBD" w14:textId="5B24E9C9" w:rsidR="007176C1" w:rsidRPr="00D71A4F" w:rsidRDefault="008D7D89" w:rsidP="00B36620">
      <w:pPr>
        <w:spacing w:after="209" w:line="267" w:lineRule="auto"/>
        <w:ind w:left="0" w:firstLine="0"/>
        <w:rPr>
          <w:rFonts w:ascii="Arial" w:hAnsi="Arial" w:cs="Arial"/>
        </w:rPr>
      </w:pPr>
      <w:r w:rsidRPr="00D71A4F">
        <w:rPr>
          <w:rFonts w:ascii="Arial" w:hAnsi="Arial" w:cs="Arial"/>
          <w:b/>
        </w:rPr>
        <w:lastRenderedPageBreak/>
        <w:t xml:space="preserve">PART 1: WHAT YOU NEED TO KNOW </w:t>
      </w:r>
    </w:p>
    <w:p w14:paraId="0D1356AA" w14:textId="77777777" w:rsidR="007176C1" w:rsidRPr="00D71A4F" w:rsidRDefault="008D7D89">
      <w:pPr>
        <w:pStyle w:val="Heading1"/>
        <w:tabs>
          <w:tab w:val="center" w:pos="1593"/>
        </w:tabs>
        <w:ind w:left="-15" w:right="0" w:firstLine="0"/>
        <w:rPr>
          <w:rFonts w:ascii="Arial" w:hAnsi="Arial" w:cs="Arial"/>
        </w:rPr>
      </w:pPr>
      <w:bookmarkStart w:id="2" w:name="_Toc30768814"/>
      <w:r w:rsidRPr="00D71A4F">
        <w:rPr>
          <w:rFonts w:ascii="Arial" w:hAnsi="Arial" w:cs="Arial"/>
        </w:rPr>
        <w:t xml:space="preserve">1.1  </w:t>
      </w:r>
      <w:r w:rsidRPr="00D71A4F">
        <w:rPr>
          <w:rFonts w:ascii="Arial" w:hAnsi="Arial" w:cs="Arial"/>
        </w:rPr>
        <w:tab/>
        <w:t>The law at a glance</w:t>
      </w:r>
      <w:bookmarkEnd w:id="2"/>
      <w:r w:rsidRPr="00D71A4F">
        <w:rPr>
          <w:rFonts w:ascii="Arial" w:hAnsi="Arial" w:cs="Arial"/>
        </w:rPr>
        <w:t xml:space="preserve"> </w:t>
      </w:r>
    </w:p>
    <w:p w14:paraId="39F06E9B" w14:textId="77777777" w:rsidR="007176C1" w:rsidRPr="00D71A4F" w:rsidRDefault="008D7D89">
      <w:pPr>
        <w:spacing w:after="4"/>
        <w:ind w:left="-5" w:right="11"/>
        <w:rPr>
          <w:rFonts w:ascii="Arial" w:hAnsi="Arial" w:cs="Arial"/>
        </w:rPr>
      </w:pPr>
      <w:r w:rsidRPr="00D71A4F">
        <w:rPr>
          <w:rFonts w:ascii="Arial" w:hAnsi="Arial" w:cs="Arial"/>
        </w:rPr>
        <w:t xml:space="preserve">The General Data Protection Regulation (GDPR) came into force on 25 May 2018 across all EU member states.  </w:t>
      </w:r>
    </w:p>
    <w:p w14:paraId="57D008A6" w14:textId="77777777" w:rsidR="007176C1" w:rsidRPr="00D71A4F" w:rsidRDefault="008D7D89">
      <w:pPr>
        <w:spacing w:after="19" w:line="259" w:lineRule="auto"/>
        <w:ind w:left="0" w:firstLine="0"/>
        <w:rPr>
          <w:rFonts w:ascii="Arial" w:hAnsi="Arial" w:cs="Arial"/>
        </w:rPr>
      </w:pPr>
      <w:r w:rsidRPr="00D71A4F">
        <w:rPr>
          <w:rFonts w:ascii="Arial" w:hAnsi="Arial" w:cs="Arial"/>
        </w:rPr>
        <w:t xml:space="preserve"> </w:t>
      </w:r>
    </w:p>
    <w:p w14:paraId="62E8A810" w14:textId="77777777" w:rsidR="007176C1" w:rsidRPr="00D71A4F" w:rsidRDefault="008D7D89">
      <w:pPr>
        <w:spacing w:after="4"/>
        <w:ind w:left="-5" w:right="11"/>
        <w:rPr>
          <w:rFonts w:ascii="Arial" w:hAnsi="Arial" w:cs="Arial"/>
        </w:rPr>
      </w:pPr>
      <w:r w:rsidRPr="00D71A4F">
        <w:rPr>
          <w:rFonts w:ascii="Arial" w:hAnsi="Arial" w:cs="Arial"/>
        </w:rPr>
        <w:t xml:space="preserve">The GDPR allows Member States to make some variation in how GDPR is applied within their jurisdiction. The UK has done this using the Data Protection Act 2018 (DPA2018).  The GDPR and DPA2018 therefore have to be read side by side.  </w:t>
      </w:r>
      <w:r w:rsidRPr="00D71A4F">
        <w:rPr>
          <w:rFonts w:ascii="Arial" w:hAnsi="Arial" w:cs="Arial"/>
          <w:b/>
        </w:rPr>
        <w:t xml:space="preserve"> </w:t>
      </w:r>
    </w:p>
    <w:p w14:paraId="12844CE6" w14:textId="77777777" w:rsidR="007176C1" w:rsidRPr="00D71A4F" w:rsidRDefault="008D7D89">
      <w:pPr>
        <w:spacing w:after="19" w:line="259" w:lineRule="auto"/>
        <w:ind w:left="0" w:firstLine="0"/>
        <w:rPr>
          <w:rFonts w:ascii="Arial" w:hAnsi="Arial" w:cs="Arial"/>
        </w:rPr>
      </w:pPr>
      <w:r w:rsidRPr="00D71A4F">
        <w:rPr>
          <w:rFonts w:ascii="Arial" w:hAnsi="Arial" w:cs="Arial"/>
          <w:b/>
        </w:rPr>
        <w:t xml:space="preserve"> </w:t>
      </w:r>
    </w:p>
    <w:p w14:paraId="7886DA49" w14:textId="77777777" w:rsidR="007176C1" w:rsidRPr="00D71A4F" w:rsidRDefault="008D7D89">
      <w:pPr>
        <w:ind w:left="-5" w:right="11"/>
        <w:rPr>
          <w:rFonts w:ascii="Arial" w:hAnsi="Arial" w:cs="Arial"/>
        </w:rPr>
      </w:pPr>
      <w:r w:rsidRPr="00D71A4F">
        <w:rPr>
          <w:rFonts w:ascii="Arial" w:hAnsi="Arial" w:cs="Arial"/>
        </w:rPr>
        <w:t xml:space="preserve">The changes to data protection law will not be affected by the UK’s decision to leave the EU.  </w:t>
      </w:r>
    </w:p>
    <w:p w14:paraId="68710E57" w14:textId="77777777" w:rsidR="007176C1" w:rsidRPr="00D71A4F" w:rsidRDefault="008D7D89">
      <w:pPr>
        <w:ind w:left="-5" w:right="11"/>
        <w:rPr>
          <w:rFonts w:ascii="Arial" w:hAnsi="Arial" w:cs="Arial"/>
        </w:rPr>
      </w:pPr>
      <w:r w:rsidRPr="00D71A4F">
        <w:rPr>
          <w:rFonts w:ascii="Arial" w:hAnsi="Arial" w:cs="Arial"/>
        </w:rPr>
        <w:t xml:space="preserve">Data protection law applies to </w:t>
      </w:r>
      <w:r w:rsidRPr="00D71A4F">
        <w:rPr>
          <w:rFonts w:ascii="Arial" w:hAnsi="Arial" w:cs="Arial"/>
          <w:b/>
        </w:rPr>
        <w:t>personal data</w:t>
      </w:r>
      <w:r w:rsidRPr="00D71A4F">
        <w:rPr>
          <w:rFonts w:ascii="Arial" w:hAnsi="Arial" w:cs="Arial"/>
        </w:rPr>
        <w:t xml:space="preserve"> held in electronic and paper form – i.e. not just computer records. It therefore applies to all optical businesses/practices. </w:t>
      </w:r>
    </w:p>
    <w:p w14:paraId="54400821" w14:textId="25B618D5" w:rsidR="004319E4" w:rsidRPr="00D71A4F" w:rsidRDefault="008D7D89">
      <w:pPr>
        <w:spacing w:after="23"/>
        <w:ind w:left="-5" w:right="11"/>
        <w:rPr>
          <w:rFonts w:ascii="Arial" w:hAnsi="Arial" w:cs="Arial"/>
        </w:rPr>
      </w:pPr>
      <w:r w:rsidRPr="00D71A4F">
        <w:rPr>
          <w:rFonts w:ascii="Arial" w:hAnsi="Arial" w:cs="Arial"/>
        </w:rPr>
        <w:t xml:space="preserve">Data protection law </w:t>
      </w:r>
      <w:r w:rsidRPr="00D71A4F">
        <w:rPr>
          <w:rFonts w:ascii="Arial" w:hAnsi="Arial" w:cs="Arial"/>
          <w:b/>
        </w:rPr>
        <w:t xml:space="preserve">does not apply to non-personal data </w:t>
      </w:r>
      <w:r w:rsidRPr="00D71A4F">
        <w:rPr>
          <w:rFonts w:ascii="Arial" w:hAnsi="Arial" w:cs="Arial"/>
        </w:rPr>
        <w:t>– e.g. it does not cover information you hold that is not about a natural person or anonymised data from which an individual cannot be identified</w:t>
      </w:r>
      <w:r w:rsidR="004319E4" w:rsidRPr="00D71A4F">
        <w:rPr>
          <w:rFonts w:ascii="Arial" w:hAnsi="Arial" w:cs="Arial"/>
          <w:vertAlign w:val="superscript"/>
        </w:rPr>
        <w:endnoteReference w:id="1"/>
      </w:r>
      <w:r w:rsidR="004319E4" w:rsidRPr="00D71A4F">
        <w:rPr>
          <w:rFonts w:ascii="Arial" w:hAnsi="Arial" w:cs="Arial"/>
        </w:rPr>
        <w:t>. Pseudonymised data – which could be used to identify an individual if combined with other data – might still fall within the scope of this law depending on how difficult it is to attribute the pseudonym to a particular individual</w:t>
      </w:r>
      <w:r w:rsidR="004319E4" w:rsidRPr="00D71A4F">
        <w:rPr>
          <w:rFonts w:ascii="Arial" w:hAnsi="Arial" w:cs="Arial"/>
          <w:vertAlign w:val="superscript"/>
        </w:rPr>
        <w:endnoteReference w:id="2"/>
      </w:r>
      <w:r w:rsidR="004319E4" w:rsidRPr="00D71A4F">
        <w:rPr>
          <w:rFonts w:ascii="Arial" w:hAnsi="Arial" w:cs="Arial"/>
        </w:rPr>
        <w:t xml:space="preserve">.   </w:t>
      </w:r>
    </w:p>
    <w:p w14:paraId="3784C2BD" w14:textId="77777777" w:rsidR="004319E4" w:rsidRPr="00D71A4F" w:rsidRDefault="004319E4">
      <w:pPr>
        <w:spacing w:after="19" w:line="259" w:lineRule="auto"/>
        <w:ind w:left="0" w:firstLine="0"/>
        <w:rPr>
          <w:rFonts w:ascii="Arial" w:hAnsi="Arial" w:cs="Arial"/>
        </w:rPr>
      </w:pPr>
      <w:r w:rsidRPr="00D71A4F">
        <w:rPr>
          <w:rFonts w:ascii="Arial" w:hAnsi="Arial" w:cs="Arial"/>
        </w:rPr>
        <w:t xml:space="preserve"> </w:t>
      </w:r>
    </w:p>
    <w:p w14:paraId="7B2FA3F3" w14:textId="77777777" w:rsidR="004319E4" w:rsidRPr="00D71A4F" w:rsidRDefault="004319E4">
      <w:pPr>
        <w:spacing w:after="5"/>
        <w:ind w:left="-5" w:right="11"/>
        <w:rPr>
          <w:rFonts w:ascii="Arial" w:hAnsi="Arial" w:cs="Arial"/>
        </w:rPr>
      </w:pPr>
      <w:r w:rsidRPr="00D71A4F">
        <w:rPr>
          <w:rFonts w:ascii="Arial" w:hAnsi="Arial" w:cs="Arial"/>
        </w:rPr>
        <w:t xml:space="preserve">Although the law does not apply to all data you hold, data protection by design requirements mean that you are likely to benefit by taking steps to protect all your data. (See Part 2: What you need to do) </w:t>
      </w:r>
    </w:p>
    <w:p w14:paraId="6DB19291" w14:textId="77777777" w:rsidR="004319E4" w:rsidRPr="00D71A4F" w:rsidRDefault="004319E4">
      <w:pPr>
        <w:spacing w:after="33" w:line="259" w:lineRule="auto"/>
        <w:ind w:left="0" w:firstLine="0"/>
        <w:rPr>
          <w:rFonts w:ascii="Arial" w:hAnsi="Arial" w:cs="Arial"/>
        </w:rPr>
      </w:pPr>
      <w:r w:rsidRPr="00D71A4F">
        <w:rPr>
          <w:rFonts w:ascii="Arial" w:hAnsi="Arial" w:cs="Arial"/>
        </w:rPr>
        <w:t xml:space="preserve"> </w:t>
      </w:r>
    </w:p>
    <w:p w14:paraId="5050B717" w14:textId="77777777" w:rsidR="004319E4" w:rsidRPr="00D71A4F" w:rsidRDefault="004319E4">
      <w:pPr>
        <w:pStyle w:val="Heading1"/>
        <w:tabs>
          <w:tab w:val="center" w:pos="1179"/>
        </w:tabs>
        <w:ind w:left="-15" w:right="0" w:firstLine="0"/>
        <w:rPr>
          <w:rFonts w:ascii="Arial" w:hAnsi="Arial" w:cs="Arial"/>
        </w:rPr>
      </w:pPr>
      <w:bookmarkStart w:id="3" w:name="_Toc30768815"/>
      <w:r w:rsidRPr="00D71A4F">
        <w:rPr>
          <w:rFonts w:ascii="Arial" w:hAnsi="Arial" w:cs="Arial"/>
        </w:rPr>
        <w:t xml:space="preserve">1.2 </w:t>
      </w:r>
      <w:r w:rsidRPr="00D71A4F">
        <w:rPr>
          <w:rFonts w:ascii="Arial" w:hAnsi="Arial" w:cs="Arial"/>
        </w:rPr>
        <w:tab/>
        <w:t>Key terms</w:t>
      </w:r>
      <w:bookmarkEnd w:id="3"/>
      <w:r w:rsidRPr="00D71A4F">
        <w:rPr>
          <w:rFonts w:ascii="Arial" w:hAnsi="Arial" w:cs="Arial"/>
        </w:rPr>
        <w:t xml:space="preserve">  </w:t>
      </w:r>
    </w:p>
    <w:p w14:paraId="438CD548" w14:textId="77777777" w:rsidR="004319E4" w:rsidRPr="00D71A4F" w:rsidRDefault="004319E4">
      <w:pPr>
        <w:spacing w:after="0"/>
        <w:ind w:left="-5" w:right="11"/>
        <w:rPr>
          <w:rFonts w:ascii="Arial" w:hAnsi="Arial" w:cs="Arial"/>
        </w:rPr>
      </w:pPr>
      <w:r w:rsidRPr="00D71A4F">
        <w:rPr>
          <w:rFonts w:ascii="Arial" w:hAnsi="Arial" w:cs="Arial"/>
        </w:rPr>
        <w:t>The table below sets out the key terms used in the GDPR and DPA2018 that you will need to know</w:t>
      </w:r>
      <w:r w:rsidRPr="00D71A4F">
        <w:rPr>
          <w:rFonts w:ascii="Arial" w:hAnsi="Arial" w:cs="Arial"/>
          <w:b/>
        </w:rPr>
        <w:t>.</w:t>
      </w:r>
      <w:r w:rsidRPr="00D71A4F">
        <w:rPr>
          <w:rFonts w:ascii="Arial" w:hAnsi="Arial" w:cs="Arial"/>
        </w:rPr>
        <w:t xml:space="preserve">  </w:t>
      </w:r>
    </w:p>
    <w:tbl>
      <w:tblPr>
        <w:tblStyle w:val="TableGrid"/>
        <w:tblW w:w="9349" w:type="dxa"/>
        <w:tblInd w:w="6" w:type="dxa"/>
        <w:tblCellMar>
          <w:top w:w="47" w:type="dxa"/>
          <w:left w:w="107" w:type="dxa"/>
          <w:right w:w="68" w:type="dxa"/>
        </w:tblCellMar>
        <w:tblLook w:val="04A0" w:firstRow="1" w:lastRow="0" w:firstColumn="1" w:lastColumn="0" w:noHBand="0" w:noVBand="1"/>
      </w:tblPr>
      <w:tblGrid>
        <w:gridCol w:w="2120"/>
        <w:gridCol w:w="7229"/>
      </w:tblGrid>
      <w:tr w:rsidR="004319E4" w:rsidRPr="00D71A4F" w14:paraId="15CD15B3" w14:textId="77777777" w:rsidTr="007A7EB3">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002060"/>
          </w:tcPr>
          <w:p w14:paraId="0CDF0287" w14:textId="77777777" w:rsidR="004319E4" w:rsidRPr="00D71A4F" w:rsidRDefault="004319E4">
            <w:pPr>
              <w:spacing w:after="0" w:line="259" w:lineRule="auto"/>
              <w:ind w:left="8" w:firstLine="0"/>
              <w:jc w:val="center"/>
              <w:rPr>
                <w:rFonts w:ascii="Arial" w:hAnsi="Arial" w:cs="Arial"/>
                <w:color w:val="FFFFFF" w:themeColor="background1"/>
              </w:rPr>
            </w:pPr>
            <w:r w:rsidRPr="00D71A4F">
              <w:rPr>
                <w:rFonts w:ascii="Arial" w:hAnsi="Arial" w:cs="Arial"/>
                <w:b/>
                <w:color w:val="FFFFFF" w:themeColor="background1"/>
              </w:rPr>
              <w:t xml:space="preserve">Key terms </w:t>
            </w:r>
          </w:p>
        </w:tc>
        <w:tc>
          <w:tcPr>
            <w:tcW w:w="7229" w:type="dxa"/>
            <w:tcBorders>
              <w:top w:val="single" w:sz="4" w:space="0" w:color="000000"/>
              <w:left w:val="single" w:sz="4" w:space="0" w:color="000000"/>
              <w:bottom w:val="single" w:sz="4" w:space="0" w:color="000000"/>
              <w:right w:val="single" w:sz="4" w:space="0" w:color="000000"/>
            </w:tcBorders>
            <w:shd w:val="clear" w:color="auto" w:fill="002060"/>
          </w:tcPr>
          <w:p w14:paraId="6270A093" w14:textId="77777777" w:rsidR="004319E4" w:rsidRPr="00D71A4F" w:rsidRDefault="004319E4">
            <w:pPr>
              <w:spacing w:after="0" w:line="259" w:lineRule="auto"/>
              <w:ind w:left="8" w:firstLine="0"/>
              <w:jc w:val="center"/>
              <w:rPr>
                <w:rFonts w:ascii="Arial" w:hAnsi="Arial" w:cs="Arial"/>
                <w:color w:val="FFFFFF" w:themeColor="background1"/>
              </w:rPr>
            </w:pPr>
            <w:r w:rsidRPr="00D71A4F">
              <w:rPr>
                <w:rFonts w:ascii="Arial" w:hAnsi="Arial" w:cs="Arial"/>
                <w:b/>
                <w:color w:val="FFFFFF" w:themeColor="background1"/>
              </w:rPr>
              <w:t xml:space="preserve">What it means </w:t>
            </w:r>
          </w:p>
        </w:tc>
      </w:tr>
      <w:tr w:rsidR="004319E4" w:rsidRPr="00D71A4F" w14:paraId="107DAFCC" w14:textId="77777777">
        <w:trPr>
          <w:trHeight w:val="1890"/>
        </w:trPr>
        <w:tc>
          <w:tcPr>
            <w:tcW w:w="2120" w:type="dxa"/>
            <w:tcBorders>
              <w:top w:val="single" w:sz="4" w:space="0" w:color="000000"/>
              <w:left w:val="single" w:sz="4" w:space="0" w:color="000000"/>
              <w:bottom w:val="single" w:sz="4" w:space="0" w:color="000000"/>
              <w:right w:val="single" w:sz="4" w:space="0" w:color="000000"/>
            </w:tcBorders>
          </w:tcPr>
          <w:p w14:paraId="77C635E3" w14:textId="77777777" w:rsidR="004319E4" w:rsidRPr="00D71A4F" w:rsidRDefault="004319E4">
            <w:pPr>
              <w:spacing w:after="0" w:line="259" w:lineRule="auto"/>
              <w:ind w:left="0" w:firstLine="0"/>
              <w:rPr>
                <w:rFonts w:ascii="Arial" w:hAnsi="Arial" w:cs="Arial"/>
              </w:rPr>
            </w:pPr>
            <w:r w:rsidRPr="00D71A4F">
              <w:rPr>
                <w:rFonts w:ascii="Arial" w:hAnsi="Arial" w:cs="Arial"/>
              </w:rPr>
              <w:t xml:space="preserve">Personal data  </w:t>
            </w:r>
          </w:p>
        </w:tc>
        <w:tc>
          <w:tcPr>
            <w:tcW w:w="7229" w:type="dxa"/>
            <w:tcBorders>
              <w:top w:val="single" w:sz="4" w:space="0" w:color="000000"/>
              <w:left w:val="single" w:sz="4" w:space="0" w:color="000000"/>
              <w:bottom w:val="single" w:sz="4" w:space="0" w:color="000000"/>
              <w:right w:val="single" w:sz="4" w:space="0" w:color="000000"/>
            </w:tcBorders>
          </w:tcPr>
          <w:p w14:paraId="0A0E38B5" w14:textId="77777777" w:rsidR="004319E4" w:rsidRPr="00D71A4F" w:rsidRDefault="004319E4">
            <w:pPr>
              <w:spacing w:after="0" w:line="239" w:lineRule="auto"/>
              <w:ind w:left="1" w:firstLine="0"/>
              <w:rPr>
                <w:rFonts w:ascii="Arial" w:hAnsi="Arial" w:cs="Arial"/>
              </w:rPr>
            </w:pPr>
            <w:r w:rsidRPr="00D71A4F">
              <w:rPr>
                <w:rFonts w:ascii="Arial" w:hAnsi="Arial" w:cs="Arial"/>
              </w:rPr>
              <w:t>Any information relating to an identified or identifiable natural person ("data subject"); an identifiable person is someone who can be identified, directly or indirectly, in particular by reference to an identifier such as a name, an identification number, location data, online identifier or to one or more factors specific to the physical, physiological,</w:t>
            </w:r>
            <w:r w:rsidRPr="00D71A4F">
              <w:rPr>
                <w:rFonts w:ascii="Arial" w:hAnsi="Arial" w:cs="Arial"/>
                <w:b/>
              </w:rPr>
              <w:t xml:space="preserve"> </w:t>
            </w:r>
            <w:r w:rsidRPr="00D71A4F">
              <w:rPr>
                <w:rFonts w:ascii="Arial" w:hAnsi="Arial" w:cs="Arial"/>
              </w:rPr>
              <w:t xml:space="preserve">genetic, mental, economic, cultural or social identity of that person. </w:t>
            </w:r>
          </w:p>
          <w:p w14:paraId="5EA23951" w14:textId="77777777" w:rsidR="004319E4" w:rsidRPr="00D71A4F" w:rsidRDefault="004319E4">
            <w:pPr>
              <w:spacing w:after="0" w:line="259" w:lineRule="auto"/>
              <w:ind w:left="1" w:firstLine="0"/>
              <w:rPr>
                <w:rFonts w:ascii="Arial" w:hAnsi="Arial" w:cs="Arial"/>
              </w:rPr>
            </w:pPr>
            <w:r w:rsidRPr="00D71A4F">
              <w:rPr>
                <w:rFonts w:ascii="Arial" w:hAnsi="Arial" w:cs="Arial"/>
              </w:rPr>
              <w:t xml:space="preserve"> </w:t>
            </w:r>
          </w:p>
        </w:tc>
      </w:tr>
      <w:tr w:rsidR="004319E4" w:rsidRPr="00D71A4F" w14:paraId="0D1C803E" w14:textId="77777777">
        <w:trPr>
          <w:trHeight w:val="1623"/>
        </w:trPr>
        <w:tc>
          <w:tcPr>
            <w:tcW w:w="2120" w:type="dxa"/>
            <w:tcBorders>
              <w:top w:val="single" w:sz="4" w:space="0" w:color="000000"/>
              <w:left w:val="single" w:sz="4" w:space="0" w:color="000000"/>
              <w:bottom w:val="single" w:sz="4" w:space="0" w:color="000000"/>
              <w:right w:val="single" w:sz="4" w:space="0" w:color="000000"/>
            </w:tcBorders>
          </w:tcPr>
          <w:p w14:paraId="40CDD0A5" w14:textId="77777777" w:rsidR="004319E4" w:rsidRPr="00D71A4F" w:rsidRDefault="004319E4">
            <w:pPr>
              <w:spacing w:after="0" w:line="259" w:lineRule="auto"/>
              <w:ind w:left="0" w:firstLine="0"/>
              <w:rPr>
                <w:rFonts w:ascii="Arial" w:hAnsi="Arial" w:cs="Arial"/>
              </w:rPr>
            </w:pPr>
            <w:r w:rsidRPr="00D71A4F">
              <w:rPr>
                <w:rFonts w:ascii="Arial" w:hAnsi="Arial" w:cs="Arial"/>
              </w:rPr>
              <w:t xml:space="preserve">Special categories of personal data  </w:t>
            </w:r>
          </w:p>
        </w:tc>
        <w:tc>
          <w:tcPr>
            <w:tcW w:w="7229" w:type="dxa"/>
            <w:tcBorders>
              <w:top w:val="single" w:sz="4" w:space="0" w:color="000000"/>
              <w:left w:val="single" w:sz="4" w:space="0" w:color="000000"/>
              <w:bottom w:val="single" w:sz="4" w:space="0" w:color="000000"/>
              <w:right w:val="single" w:sz="4" w:space="0" w:color="000000"/>
            </w:tcBorders>
          </w:tcPr>
          <w:p w14:paraId="32CA11E0" w14:textId="77777777" w:rsidR="004319E4" w:rsidRPr="00D71A4F" w:rsidRDefault="004319E4">
            <w:pPr>
              <w:spacing w:after="0" w:line="259" w:lineRule="auto"/>
              <w:ind w:left="1" w:firstLine="0"/>
              <w:rPr>
                <w:rFonts w:ascii="Arial" w:hAnsi="Arial" w:cs="Arial"/>
              </w:rPr>
            </w:pPr>
            <w:r w:rsidRPr="00D71A4F">
              <w:rPr>
                <w:rFonts w:ascii="Arial" w:hAnsi="Arial" w:cs="Arial"/>
              </w:rPr>
              <w:t xml:space="preserve">Special categories of personal data have additional safeguards. This includes personal data revealing racial or ethnic origin, political opinions, religious or philosophical beliefs, or trade union membership, and the processing of genetic data, biometric data for the purpose of uniquely identifying a natural person, </w:t>
            </w:r>
            <w:r w:rsidRPr="00D71A4F">
              <w:rPr>
                <w:rFonts w:ascii="Arial" w:hAnsi="Arial" w:cs="Arial"/>
                <w:b/>
              </w:rPr>
              <w:t>data concerning health</w:t>
            </w:r>
            <w:r w:rsidRPr="00D71A4F">
              <w:rPr>
                <w:rFonts w:ascii="Arial" w:hAnsi="Arial" w:cs="Arial"/>
              </w:rPr>
              <w:t xml:space="preserve"> or data concerning a natural person's sex life or sexual orientation. </w:t>
            </w:r>
          </w:p>
        </w:tc>
      </w:tr>
      <w:tr w:rsidR="004319E4" w:rsidRPr="00D71A4F" w14:paraId="5897EBCA" w14:textId="77777777">
        <w:trPr>
          <w:trHeight w:val="816"/>
        </w:trPr>
        <w:tc>
          <w:tcPr>
            <w:tcW w:w="2120" w:type="dxa"/>
            <w:tcBorders>
              <w:top w:val="single" w:sz="4" w:space="0" w:color="000000"/>
              <w:left w:val="single" w:sz="4" w:space="0" w:color="000000"/>
              <w:bottom w:val="single" w:sz="4" w:space="0" w:color="000000"/>
              <w:right w:val="single" w:sz="4" w:space="0" w:color="000000"/>
            </w:tcBorders>
          </w:tcPr>
          <w:p w14:paraId="1970710A" w14:textId="77777777" w:rsidR="004319E4" w:rsidRPr="00D71A4F" w:rsidRDefault="004319E4">
            <w:pPr>
              <w:spacing w:after="0" w:line="259" w:lineRule="auto"/>
              <w:ind w:left="0" w:firstLine="0"/>
              <w:rPr>
                <w:rFonts w:ascii="Arial" w:hAnsi="Arial" w:cs="Arial"/>
              </w:rPr>
            </w:pPr>
            <w:r w:rsidRPr="00D71A4F">
              <w:rPr>
                <w:rFonts w:ascii="Arial" w:hAnsi="Arial" w:cs="Arial"/>
              </w:rPr>
              <w:lastRenderedPageBreak/>
              <w:t xml:space="preserve">Data controller  </w:t>
            </w:r>
          </w:p>
        </w:tc>
        <w:tc>
          <w:tcPr>
            <w:tcW w:w="7229" w:type="dxa"/>
            <w:tcBorders>
              <w:top w:val="single" w:sz="4" w:space="0" w:color="000000"/>
              <w:left w:val="single" w:sz="4" w:space="0" w:color="000000"/>
              <w:bottom w:val="single" w:sz="4" w:space="0" w:color="000000"/>
              <w:right w:val="single" w:sz="4" w:space="0" w:color="000000"/>
            </w:tcBorders>
          </w:tcPr>
          <w:p w14:paraId="09AD4E0D" w14:textId="77777777" w:rsidR="004319E4" w:rsidRPr="00D71A4F" w:rsidRDefault="004319E4">
            <w:pPr>
              <w:spacing w:after="0" w:line="259" w:lineRule="auto"/>
              <w:ind w:left="0" w:firstLine="0"/>
              <w:rPr>
                <w:rFonts w:ascii="Arial" w:hAnsi="Arial" w:cs="Arial"/>
              </w:rPr>
            </w:pPr>
            <w:r w:rsidRPr="00D71A4F">
              <w:rPr>
                <w:rFonts w:ascii="Arial" w:hAnsi="Arial" w:cs="Arial"/>
              </w:rPr>
              <w:t xml:space="preserve">The person(s) or organisation that determines the purposes and means of processing personal data – usually the practice owner or company registered with the Information Commissioner.  </w:t>
            </w:r>
          </w:p>
        </w:tc>
      </w:tr>
      <w:tr w:rsidR="004319E4" w:rsidRPr="00D71A4F" w14:paraId="57297B99" w14:textId="77777777">
        <w:trPr>
          <w:trHeight w:val="1354"/>
        </w:trPr>
        <w:tc>
          <w:tcPr>
            <w:tcW w:w="2120" w:type="dxa"/>
            <w:tcBorders>
              <w:top w:val="single" w:sz="4" w:space="0" w:color="000000"/>
              <w:left w:val="single" w:sz="4" w:space="0" w:color="000000"/>
              <w:bottom w:val="single" w:sz="4" w:space="0" w:color="000000"/>
              <w:right w:val="single" w:sz="4" w:space="0" w:color="000000"/>
            </w:tcBorders>
          </w:tcPr>
          <w:p w14:paraId="573D7E85" w14:textId="77777777" w:rsidR="004319E4" w:rsidRPr="00D71A4F" w:rsidRDefault="004319E4">
            <w:pPr>
              <w:spacing w:after="0" w:line="259" w:lineRule="auto"/>
              <w:ind w:left="0" w:firstLine="0"/>
              <w:rPr>
                <w:rFonts w:ascii="Arial" w:hAnsi="Arial" w:cs="Arial"/>
              </w:rPr>
            </w:pPr>
            <w:r w:rsidRPr="00D71A4F">
              <w:rPr>
                <w:rFonts w:ascii="Arial" w:hAnsi="Arial" w:cs="Arial"/>
              </w:rPr>
              <w:t xml:space="preserve">Data processor  </w:t>
            </w:r>
          </w:p>
        </w:tc>
        <w:tc>
          <w:tcPr>
            <w:tcW w:w="7229" w:type="dxa"/>
            <w:tcBorders>
              <w:top w:val="single" w:sz="4" w:space="0" w:color="000000"/>
              <w:left w:val="single" w:sz="4" w:space="0" w:color="000000"/>
              <w:bottom w:val="single" w:sz="4" w:space="0" w:color="000000"/>
              <w:right w:val="single" w:sz="4" w:space="0" w:color="000000"/>
            </w:tcBorders>
          </w:tcPr>
          <w:p w14:paraId="6D2BA1DC" w14:textId="77777777" w:rsidR="004319E4" w:rsidRPr="00D71A4F" w:rsidRDefault="004319E4">
            <w:pPr>
              <w:spacing w:after="0" w:line="239" w:lineRule="auto"/>
              <w:ind w:left="0" w:firstLine="0"/>
              <w:rPr>
                <w:rFonts w:ascii="Arial" w:hAnsi="Arial" w:cs="Arial"/>
              </w:rPr>
            </w:pPr>
            <w:r w:rsidRPr="00D71A4F">
              <w:rPr>
                <w:rFonts w:ascii="Arial" w:hAnsi="Arial" w:cs="Arial"/>
              </w:rPr>
              <w:t xml:space="preserve">The person(s) or organisation(s) responsible for processing personal data on behalf of the controller (other than a person who is an employee of the controller) – for example an external provider that manages the controller’s payroll. </w:t>
            </w:r>
          </w:p>
          <w:p w14:paraId="3DED6431" w14:textId="77777777" w:rsidR="004319E4" w:rsidRPr="00D71A4F" w:rsidRDefault="004319E4">
            <w:pPr>
              <w:spacing w:after="0" w:line="259" w:lineRule="auto"/>
              <w:ind w:left="0" w:firstLine="0"/>
              <w:rPr>
                <w:rFonts w:ascii="Arial" w:hAnsi="Arial" w:cs="Arial"/>
              </w:rPr>
            </w:pPr>
            <w:r w:rsidRPr="00D71A4F">
              <w:rPr>
                <w:rFonts w:ascii="Arial" w:hAnsi="Arial" w:cs="Arial"/>
              </w:rPr>
              <w:t xml:space="preserve"> </w:t>
            </w:r>
          </w:p>
        </w:tc>
      </w:tr>
      <w:tr w:rsidR="004319E4" w:rsidRPr="00D71A4F" w14:paraId="6C518A03" w14:textId="77777777">
        <w:trPr>
          <w:trHeight w:val="1621"/>
        </w:trPr>
        <w:tc>
          <w:tcPr>
            <w:tcW w:w="2120" w:type="dxa"/>
            <w:tcBorders>
              <w:top w:val="single" w:sz="4" w:space="0" w:color="000000"/>
              <w:left w:val="single" w:sz="4" w:space="0" w:color="000000"/>
              <w:bottom w:val="single" w:sz="4" w:space="0" w:color="000000"/>
              <w:right w:val="single" w:sz="4" w:space="0" w:color="000000"/>
            </w:tcBorders>
          </w:tcPr>
          <w:p w14:paraId="6D778794" w14:textId="77777777" w:rsidR="004319E4" w:rsidRPr="00D71A4F" w:rsidRDefault="004319E4">
            <w:pPr>
              <w:spacing w:after="0" w:line="259" w:lineRule="auto"/>
              <w:ind w:left="0" w:firstLine="0"/>
              <w:rPr>
                <w:rFonts w:ascii="Arial" w:hAnsi="Arial" w:cs="Arial"/>
              </w:rPr>
            </w:pPr>
            <w:r w:rsidRPr="00D71A4F">
              <w:rPr>
                <w:rFonts w:ascii="Arial" w:hAnsi="Arial" w:cs="Arial"/>
              </w:rPr>
              <w:t xml:space="preserve">Data protection law  </w:t>
            </w:r>
          </w:p>
        </w:tc>
        <w:tc>
          <w:tcPr>
            <w:tcW w:w="7229" w:type="dxa"/>
            <w:tcBorders>
              <w:top w:val="single" w:sz="4" w:space="0" w:color="000000"/>
              <w:left w:val="single" w:sz="4" w:space="0" w:color="000000"/>
              <w:bottom w:val="single" w:sz="4" w:space="0" w:color="000000"/>
              <w:right w:val="single" w:sz="4" w:space="0" w:color="000000"/>
            </w:tcBorders>
          </w:tcPr>
          <w:p w14:paraId="1D99214B" w14:textId="77777777" w:rsidR="004319E4" w:rsidRPr="00D71A4F" w:rsidRDefault="004319E4">
            <w:pPr>
              <w:spacing w:after="1" w:line="239" w:lineRule="auto"/>
              <w:ind w:left="0" w:firstLine="0"/>
              <w:rPr>
                <w:rFonts w:ascii="Arial" w:hAnsi="Arial" w:cs="Arial"/>
              </w:rPr>
            </w:pPr>
            <w:r w:rsidRPr="00D71A4F">
              <w:rPr>
                <w:rFonts w:ascii="Arial" w:hAnsi="Arial" w:cs="Arial"/>
              </w:rPr>
              <w:t xml:space="preserve">Regulation (EU) 2016/679 of the European Parliament and of the Council of 27 April 2016 on the protection of natural persons with regard to the processing of personal data and on the free movement of such data (General Data Protection Regulation) </w:t>
            </w:r>
            <w:r w:rsidRPr="00D71A4F">
              <w:rPr>
                <w:rFonts w:ascii="Arial" w:hAnsi="Arial" w:cs="Arial"/>
                <w:u w:val="single" w:color="000000"/>
              </w:rPr>
              <w:t>and</w:t>
            </w:r>
            <w:r w:rsidRPr="00D71A4F">
              <w:rPr>
                <w:rFonts w:ascii="Arial" w:hAnsi="Arial" w:cs="Arial"/>
              </w:rPr>
              <w:t xml:space="preserve"> Data Protection Act 2018. Both need to be read together. </w:t>
            </w:r>
          </w:p>
          <w:p w14:paraId="169EFCB6" w14:textId="77777777" w:rsidR="004319E4" w:rsidRPr="00D71A4F" w:rsidRDefault="004319E4">
            <w:pPr>
              <w:spacing w:after="0" w:line="259" w:lineRule="auto"/>
              <w:ind w:left="0" w:firstLine="0"/>
              <w:rPr>
                <w:rFonts w:ascii="Arial" w:hAnsi="Arial" w:cs="Arial"/>
              </w:rPr>
            </w:pPr>
            <w:r w:rsidRPr="00D71A4F">
              <w:rPr>
                <w:rFonts w:ascii="Arial" w:hAnsi="Arial" w:cs="Arial"/>
              </w:rPr>
              <w:t xml:space="preserve"> </w:t>
            </w:r>
          </w:p>
        </w:tc>
      </w:tr>
      <w:tr w:rsidR="004319E4" w:rsidRPr="00D71A4F" w14:paraId="0FFA9475" w14:textId="77777777">
        <w:trPr>
          <w:trHeight w:val="816"/>
        </w:trPr>
        <w:tc>
          <w:tcPr>
            <w:tcW w:w="2120" w:type="dxa"/>
            <w:tcBorders>
              <w:top w:val="single" w:sz="4" w:space="0" w:color="000000"/>
              <w:left w:val="single" w:sz="4" w:space="0" w:color="000000"/>
              <w:bottom w:val="single" w:sz="4" w:space="0" w:color="000000"/>
              <w:right w:val="single" w:sz="4" w:space="0" w:color="000000"/>
            </w:tcBorders>
          </w:tcPr>
          <w:p w14:paraId="0F288244" w14:textId="77777777" w:rsidR="004319E4" w:rsidRPr="00D71A4F" w:rsidRDefault="004319E4">
            <w:pPr>
              <w:spacing w:after="0" w:line="259" w:lineRule="auto"/>
              <w:ind w:left="0" w:firstLine="0"/>
              <w:rPr>
                <w:rFonts w:ascii="Arial" w:hAnsi="Arial" w:cs="Arial"/>
              </w:rPr>
            </w:pPr>
            <w:r w:rsidRPr="00D71A4F">
              <w:rPr>
                <w:rFonts w:ascii="Arial" w:hAnsi="Arial" w:cs="Arial"/>
              </w:rPr>
              <w:t xml:space="preserve">Lawful basis for processing  </w:t>
            </w:r>
          </w:p>
        </w:tc>
        <w:tc>
          <w:tcPr>
            <w:tcW w:w="7229" w:type="dxa"/>
            <w:tcBorders>
              <w:top w:val="single" w:sz="4" w:space="0" w:color="000000"/>
              <w:left w:val="single" w:sz="4" w:space="0" w:color="000000"/>
              <w:bottom w:val="single" w:sz="4" w:space="0" w:color="000000"/>
              <w:right w:val="single" w:sz="4" w:space="0" w:color="000000"/>
            </w:tcBorders>
          </w:tcPr>
          <w:p w14:paraId="201A10D8" w14:textId="77777777" w:rsidR="004319E4" w:rsidRPr="00D71A4F" w:rsidRDefault="004319E4">
            <w:pPr>
              <w:spacing w:after="0" w:line="239" w:lineRule="auto"/>
              <w:ind w:left="0" w:firstLine="0"/>
              <w:rPr>
                <w:rFonts w:ascii="Arial" w:hAnsi="Arial" w:cs="Arial"/>
              </w:rPr>
            </w:pPr>
            <w:r w:rsidRPr="00D71A4F">
              <w:rPr>
                <w:rFonts w:ascii="Arial" w:hAnsi="Arial" w:cs="Arial"/>
              </w:rPr>
              <w:t xml:space="preserve">There must be at least one lawful basis in order to process personal data. The lawful bases are clearly explained in section 2.4 and Annex B. </w:t>
            </w:r>
          </w:p>
          <w:p w14:paraId="2304F368" w14:textId="77777777" w:rsidR="004319E4" w:rsidRPr="00D71A4F" w:rsidRDefault="004319E4">
            <w:pPr>
              <w:spacing w:after="0" w:line="259" w:lineRule="auto"/>
              <w:ind w:left="0" w:firstLine="0"/>
              <w:rPr>
                <w:rFonts w:ascii="Arial" w:hAnsi="Arial" w:cs="Arial"/>
              </w:rPr>
            </w:pPr>
            <w:r w:rsidRPr="00D71A4F">
              <w:rPr>
                <w:rFonts w:ascii="Arial" w:hAnsi="Arial" w:cs="Arial"/>
              </w:rPr>
              <w:t xml:space="preserve"> </w:t>
            </w:r>
          </w:p>
        </w:tc>
      </w:tr>
    </w:tbl>
    <w:p w14:paraId="1B1DFE69" w14:textId="77777777" w:rsidR="004319E4" w:rsidRPr="00D71A4F" w:rsidRDefault="004319E4">
      <w:pPr>
        <w:spacing w:after="232" w:line="259" w:lineRule="auto"/>
        <w:ind w:left="0" w:firstLine="0"/>
        <w:rPr>
          <w:rFonts w:ascii="Arial" w:hAnsi="Arial" w:cs="Arial"/>
        </w:rPr>
      </w:pPr>
      <w:r w:rsidRPr="00D71A4F">
        <w:rPr>
          <w:rFonts w:ascii="Arial" w:hAnsi="Arial" w:cs="Arial"/>
          <w:b/>
        </w:rPr>
        <w:t xml:space="preserve"> </w:t>
      </w:r>
    </w:p>
    <w:p w14:paraId="68B5B492" w14:textId="77777777" w:rsidR="004319E4" w:rsidRPr="00D71A4F" w:rsidRDefault="004319E4">
      <w:pPr>
        <w:pStyle w:val="Heading1"/>
        <w:tabs>
          <w:tab w:val="center" w:pos="2016"/>
        </w:tabs>
        <w:ind w:left="-15" w:right="0" w:firstLine="0"/>
        <w:rPr>
          <w:rFonts w:ascii="Arial" w:hAnsi="Arial" w:cs="Arial"/>
        </w:rPr>
      </w:pPr>
      <w:bookmarkStart w:id="4" w:name="_Toc30768816"/>
      <w:r w:rsidRPr="00D71A4F">
        <w:rPr>
          <w:rFonts w:ascii="Arial" w:hAnsi="Arial" w:cs="Arial"/>
        </w:rPr>
        <w:t xml:space="preserve">1.3  </w:t>
      </w:r>
      <w:r w:rsidRPr="00D71A4F">
        <w:rPr>
          <w:rFonts w:ascii="Arial" w:hAnsi="Arial" w:cs="Arial"/>
        </w:rPr>
        <w:tab/>
        <w:t>Principles of data protection</w:t>
      </w:r>
      <w:bookmarkEnd w:id="4"/>
      <w:r w:rsidRPr="00D71A4F">
        <w:rPr>
          <w:rFonts w:ascii="Arial" w:hAnsi="Arial" w:cs="Arial"/>
        </w:rPr>
        <w:t xml:space="preserve">  </w:t>
      </w:r>
    </w:p>
    <w:p w14:paraId="1DDD283F" w14:textId="77777777" w:rsidR="004319E4" w:rsidRPr="00D71A4F" w:rsidRDefault="004319E4">
      <w:pPr>
        <w:ind w:left="-5" w:right="11"/>
        <w:rPr>
          <w:rFonts w:ascii="Arial" w:hAnsi="Arial" w:cs="Arial"/>
        </w:rPr>
      </w:pPr>
      <w:r w:rsidRPr="00D71A4F">
        <w:rPr>
          <w:rFonts w:ascii="Arial" w:hAnsi="Arial" w:cs="Arial"/>
        </w:rPr>
        <w:t xml:space="preserve">The principles in the new law are similar to previous UK law. It is important to remember that the GDPR is a principles-based rather than rules-based system, and in the event of a problem the ICO is likely to look more favourably on organisations that can show they have considered the principles and tried to apply them.  </w:t>
      </w:r>
    </w:p>
    <w:p w14:paraId="485DBF3F" w14:textId="77777777" w:rsidR="004319E4" w:rsidRPr="00D71A4F" w:rsidRDefault="004319E4">
      <w:pPr>
        <w:spacing w:after="241"/>
        <w:ind w:left="-5" w:right="11"/>
        <w:rPr>
          <w:rFonts w:ascii="Arial" w:hAnsi="Arial" w:cs="Arial"/>
        </w:rPr>
      </w:pPr>
      <w:r w:rsidRPr="00D71A4F">
        <w:rPr>
          <w:rFonts w:ascii="Arial" w:hAnsi="Arial" w:cs="Arial"/>
        </w:rPr>
        <w:t xml:space="preserve">The data controller will be responsible for ensuring, and will need to demonstrate, that personal data is: </w:t>
      </w:r>
    </w:p>
    <w:p w14:paraId="4F7E9CDE" w14:textId="77777777" w:rsidR="004319E4" w:rsidRPr="00D71A4F" w:rsidRDefault="004319E4">
      <w:pPr>
        <w:numPr>
          <w:ilvl w:val="0"/>
          <w:numId w:val="5"/>
        </w:numPr>
        <w:spacing w:after="42"/>
        <w:ind w:right="11" w:hanging="360"/>
        <w:rPr>
          <w:rFonts w:ascii="Arial" w:hAnsi="Arial" w:cs="Arial"/>
        </w:rPr>
      </w:pPr>
      <w:r w:rsidRPr="00D71A4F">
        <w:rPr>
          <w:rFonts w:ascii="Arial" w:hAnsi="Arial" w:cs="Arial"/>
        </w:rPr>
        <w:t xml:space="preserve">processed lawfully, fairly and transparently  </w:t>
      </w:r>
    </w:p>
    <w:p w14:paraId="4754C757" w14:textId="77777777" w:rsidR="004319E4" w:rsidRPr="00D71A4F" w:rsidRDefault="004319E4">
      <w:pPr>
        <w:numPr>
          <w:ilvl w:val="0"/>
          <w:numId w:val="5"/>
        </w:numPr>
        <w:spacing w:after="36"/>
        <w:ind w:right="11" w:hanging="360"/>
        <w:rPr>
          <w:rFonts w:ascii="Arial" w:hAnsi="Arial" w:cs="Arial"/>
        </w:rPr>
      </w:pPr>
      <w:r w:rsidRPr="00D71A4F">
        <w:rPr>
          <w:rFonts w:ascii="Arial" w:hAnsi="Arial" w:cs="Arial"/>
        </w:rPr>
        <w:t xml:space="preserve">collected and used for specific and legitimate purposes, and not used in an incompatible way with those purposes  </w:t>
      </w:r>
    </w:p>
    <w:p w14:paraId="1A703484" w14:textId="77777777" w:rsidR="004319E4" w:rsidRPr="00D71A4F" w:rsidRDefault="004319E4">
      <w:pPr>
        <w:numPr>
          <w:ilvl w:val="0"/>
          <w:numId w:val="5"/>
        </w:numPr>
        <w:spacing w:after="42"/>
        <w:ind w:right="11" w:hanging="360"/>
        <w:rPr>
          <w:rFonts w:ascii="Arial" w:hAnsi="Arial" w:cs="Arial"/>
        </w:rPr>
      </w:pPr>
      <w:r w:rsidRPr="00D71A4F">
        <w:rPr>
          <w:rFonts w:ascii="Arial" w:hAnsi="Arial" w:cs="Arial"/>
        </w:rPr>
        <w:t xml:space="preserve">adequate, relevant and limited to what is necessary for the intended purposes </w:t>
      </w:r>
    </w:p>
    <w:p w14:paraId="5D9B729C" w14:textId="77777777" w:rsidR="004319E4" w:rsidRPr="00D71A4F" w:rsidRDefault="004319E4">
      <w:pPr>
        <w:numPr>
          <w:ilvl w:val="0"/>
          <w:numId w:val="5"/>
        </w:numPr>
        <w:spacing w:after="42"/>
        <w:ind w:right="11" w:hanging="360"/>
        <w:rPr>
          <w:rFonts w:ascii="Arial" w:hAnsi="Arial" w:cs="Arial"/>
        </w:rPr>
      </w:pPr>
      <w:r w:rsidRPr="00D71A4F">
        <w:rPr>
          <w:rFonts w:ascii="Arial" w:hAnsi="Arial" w:cs="Arial"/>
        </w:rPr>
        <w:t xml:space="preserve">accurate and where necessary kept up to date – e.g. errors can be rectified without undue delay  </w:t>
      </w:r>
    </w:p>
    <w:p w14:paraId="2F88AF87" w14:textId="77777777" w:rsidR="004319E4" w:rsidRPr="00D71A4F" w:rsidRDefault="004319E4">
      <w:pPr>
        <w:numPr>
          <w:ilvl w:val="0"/>
          <w:numId w:val="5"/>
        </w:numPr>
        <w:spacing w:after="39"/>
        <w:ind w:right="11" w:hanging="360"/>
        <w:rPr>
          <w:rFonts w:ascii="Arial" w:hAnsi="Arial" w:cs="Arial"/>
        </w:rPr>
      </w:pPr>
      <w:r w:rsidRPr="00D71A4F">
        <w:rPr>
          <w:rFonts w:ascii="Arial" w:hAnsi="Arial" w:cs="Arial"/>
        </w:rPr>
        <w:t xml:space="preserve">kept in a way that permits identification of an individual for no longer than is necessary </w:t>
      </w:r>
    </w:p>
    <w:p w14:paraId="29C29441" w14:textId="77777777" w:rsidR="004319E4" w:rsidRPr="00D71A4F" w:rsidRDefault="004319E4">
      <w:pPr>
        <w:numPr>
          <w:ilvl w:val="0"/>
          <w:numId w:val="5"/>
        </w:numPr>
        <w:spacing w:after="4"/>
        <w:ind w:right="11" w:hanging="360"/>
        <w:rPr>
          <w:rFonts w:ascii="Arial" w:hAnsi="Arial" w:cs="Arial"/>
        </w:rPr>
      </w:pPr>
      <w:r w:rsidRPr="00D71A4F">
        <w:rPr>
          <w:rFonts w:ascii="Arial" w:hAnsi="Arial" w:cs="Arial"/>
        </w:rPr>
        <w:t xml:space="preserve">kept secure using appropriate technical or organizational measures –e.g. protecting against accidental loss, destruction or damage. </w:t>
      </w:r>
    </w:p>
    <w:p w14:paraId="29ABB718" w14:textId="4D95E934" w:rsidR="004319E4" w:rsidRPr="00D71A4F" w:rsidRDefault="004319E4" w:rsidP="007A7EB3">
      <w:pPr>
        <w:spacing w:after="16" w:line="259" w:lineRule="auto"/>
        <w:ind w:left="720" w:firstLine="0"/>
        <w:rPr>
          <w:rFonts w:ascii="Arial" w:hAnsi="Arial" w:cs="Arial"/>
        </w:rPr>
      </w:pPr>
      <w:r w:rsidRPr="00D71A4F">
        <w:rPr>
          <w:rFonts w:ascii="Arial" w:hAnsi="Arial" w:cs="Arial"/>
        </w:rPr>
        <w:t xml:space="preserve"> </w:t>
      </w:r>
    </w:p>
    <w:p w14:paraId="3B9BDA87" w14:textId="0ED07EF4" w:rsidR="004319E4" w:rsidRDefault="004319E4" w:rsidP="000A0439">
      <w:pPr>
        <w:spacing w:after="0" w:line="259" w:lineRule="auto"/>
        <w:ind w:left="0" w:firstLine="0"/>
        <w:rPr>
          <w:rFonts w:ascii="Arial" w:hAnsi="Arial" w:cs="Arial"/>
        </w:rPr>
      </w:pPr>
    </w:p>
    <w:p w14:paraId="6FA31D25" w14:textId="5FA211B8" w:rsidR="000A0439" w:rsidRDefault="000A0439" w:rsidP="000A0439">
      <w:pPr>
        <w:spacing w:after="0" w:line="259" w:lineRule="auto"/>
        <w:ind w:left="0" w:firstLine="0"/>
        <w:rPr>
          <w:rFonts w:ascii="Arial" w:hAnsi="Arial" w:cs="Arial"/>
        </w:rPr>
      </w:pPr>
    </w:p>
    <w:p w14:paraId="678EB4A8" w14:textId="68B571B0" w:rsidR="000A0439" w:rsidRDefault="000A0439" w:rsidP="000A0439">
      <w:pPr>
        <w:spacing w:after="0" w:line="259" w:lineRule="auto"/>
        <w:ind w:left="0" w:firstLine="0"/>
        <w:rPr>
          <w:rFonts w:ascii="Arial" w:hAnsi="Arial" w:cs="Arial"/>
        </w:rPr>
      </w:pPr>
    </w:p>
    <w:p w14:paraId="13D752EB" w14:textId="4694BD04" w:rsidR="000A0439" w:rsidRDefault="000A0439" w:rsidP="000A0439">
      <w:pPr>
        <w:spacing w:after="0" w:line="259" w:lineRule="auto"/>
        <w:ind w:left="0" w:firstLine="0"/>
        <w:rPr>
          <w:rFonts w:ascii="Arial" w:hAnsi="Arial" w:cs="Arial"/>
        </w:rPr>
      </w:pPr>
    </w:p>
    <w:p w14:paraId="53240C68" w14:textId="28FCD656" w:rsidR="000A0439" w:rsidRDefault="000A0439" w:rsidP="000A0439">
      <w:pPr>
        <w:spacing w:after="0" w:line="259" w:lineRule="auto"/>
        <w:ind w:left="0" w:firstLine="0"/>
        <w:rPr>
          <w:rFonts w:ascii="Arial" w:hAnsi="Arial" w:cs="Arial"/>
        </w:rPr>
      </w:pPr>
    </w:p>
    <w:p w14:paraId="06B771F2" w14:textId="77777777" w:rsidR="000A0439" w:rsidRPr="00D71A4F" w:rsidRDefault="000A0439" w:rsidP="000A0439">
      <w:pPr>
        <w:spacing w:after="0" w:line="259" w:lineRule="auto"/>
        <w:ind w:left="0" w:firstLine="0"/>
        <w:rPr>
          <w:rFonts w:ascii="Arial" w:hAnsi="Arial" w:cs="Arial"/>
        </w:rPr>
      </w:pPr>
    </w:p>
    <w:p w14:paraId="651B3978" w14:textId="77777777" w:rsidR="004319E4" w:rsidRPr="00D71A4F" w:rsidRDefault="004319E4">
      <w:pPr>
        <w:tabs>
          <w:tab w:val="center" w:pos="1615"/>
        </w:tabs>
        <w:spacing w:after="209" w:line="267" w:lineRule="auto"/>
        <w:ind w:left="-15" w:firstLine="0"/>
        <w:rPr>
          <w:rFonts w:ascii="Arial" w:hAnsi="Arial" w:cs="Arial"/>
        </w:rPr>
      </w:pPr>
      <w:r w:rsidRPr="00D71A4F">
        <w:rPr>
          <w:rFonts w:ascii="Arial" w:hAnsi="Arial" w:cs="Arial"/>
          <w:b/>
        </w:rPr>
        <w:lastRenderedPageBreak/>
        <w:t xml:space="preserve">1.4  </w:t>
      </w:r>
      <w:r w:rsidRPr="00D71A4F">
        <w:rPr>
          <w:rFonts w:ascii="Arial" w:hAnsi="Arial" w:cs="Arial"/>
          <w:b/>
        </w:rPr>
        <w:tab/>
        <w:t xml:space="preserve">What has changed? </w:t>
      </w:r>
    </w:p>
    <w:p w14:paraId="607894EC" w14:textId="77777777" w:rsidR="004319E4" w:rsidRPr="00D71A4F" w:rsidRDefault="004319E4">
      <w:pPr>
        <w:ind w:left="-5" w:right="11"/>
        <w:rPr>
          <w:rFonts w:ascii="Arial" w:hAnsi="Arial" w:cs="Arial"/>
        </w:rPr>
      </w:pPr>
      <w:r w:rsidRPr="00D71A4F">
        <w:rPr>
          <w:rFonts w:ascii="Arial" w:hAnsi="Arial" w:cs="Arial"/>
        </w:rPr>
        <w:t xml:space="preserve">The new law aims to strengthen citizens’ rights by putting more focus on </w:t>
      </w:r>
      <w:r w:rsidRPr="00D71A4F">
        <w:rPr>
          <w:rFonts w:ascii="Arial" w:hAnsi="Arial" w:cs="Arial"/>
          <w:b/>
        </w:rPr>
        <w:t>demonstrating</w:t>
      </w:r>
      <w:r w:rsidRPr="00D71A4F">
        <w:rPr>
          <w:rFonts w:ascii="Arial" w:hAnsi="Arial" w:cs="Arial"/>
        </w:rPr>
        <w:t xml:space="preserve"> data security and clearer accountability.   </w:t>
      </w:r>
    </w:p>
    <w:p w14:paraId="0CF603E5" w14:textId="77777777" w:rsidR="004319E4" w:rsidRPr="00D71A4F" w:rsidRDefault="004319E4">
      <w:pPr>
        <w:spacing w:after="5"/>
        <w:ind w:left="-5" w:right="11"/>
        <w:rPr>
          <w:rFonts w:ascii="Arial" w:hAnsi="Arial" w:cs="Arial"/>
        </w:rPr>
      </w:pPr>
      <w:r w:rsidRPr="00D71A4F">
        <w:rPr>
          <w:rFonts w:ascii="Arial" w:hAnsi="Arial" w:cs="Arial"/>
        </w:rPr>
        <w:t xml:space="preserve">Both the GDPR and DPA2018 impose higher data protection requirements on those who process special categories of personal data. This includes, among other things, data related to health.  </w:t>
      </w:r>
    </w:p>
    <w:p w14:paraId="550019B8" w14:textId="77777777" w:rsidR="004319E4" w:rsidRPr="00D71A4F" w:rsidRDefault="004319E4">
      <w:pPr>
        <w:spacing w:after="19" w:line="259" w:lineRule="auto"/>
        <w:ind w:left="0" w:firstLine="0"/>
        <w:rPr>
          <w:rFonts w:ascii="Arial" w:hAnsi="Arial" w:cs="Arial"/>
        </w:rPr>
      </w:pPr>
      <w:r w:rsidRPr="00D71A4F">
        <w:rPr>
          <w:rFonts w:ascii="Arial" w:hAnsi="Arial" w:cs="Arial"/>
        </w:rPr>
        <w:t xml:space="preserve"> </w:t>
      </w:r>
    </w:p>
    <w:p w14:paraId="7FE78427" w14:textId="77777777" w:rsidR="004319E4" w:rsidRPr="00D71A4F" w:rsidRDefault="004319E4">
      <w:pPr>
        <w:spacing w:after="4"/>
        <w:ind w:left="-5" w:right="11"/>
        <w:rPr>
          <w:rFonts w:ascii="Arial" w:hAnsi="Arial" w:cs="Arial"/>
        </w:rPr>
      </w:pPr>
      <w:r w:rsidRPr="00D71A4F">
        <w:rPr>
          <w:rFonts w:ascii="Arial" w:hAnsi="Arial" w:cs="Arial"/>
        </w:rPr>
        <w:t xml:space="preserve">Previous data protection law and existing professional standards already require you to protect personal data.  The good news is that many data protection concepts and principles have not changed, therefore your previous polices will help you comply with the new data protection law.   </w:t>
      </w:r>
    </w:p>
    <w:p w14:paraId="6FC5C3FA" w14:textId="77777777" w:rsidR="004319E4" w:rsidRPr="00D71A4F" w:rsidRDefault="004319E4">
      <w:pPr>
        <w:spacing w:after="16" w:line="259" w:lineRule="auto"/>
        <w:ind w:left="0" w:firstLine="0"/>
        <w:rPr>
          <w:rFonts w:ascii="Arial" w:hAnsi="Arial" w:cs="Arial"/>
        </w:rPr>
      </w:pPr>
      <w:r w:rsidRPr="00D71A4F">
        <w:rPr>
          <w:rFonts w:ascii="Arial" w:hAnsi="Arial" w:cs="Arial"/>
        </w:rPr>
        <w:t xml:space="preserve"> </w:t>
      </w:r>
    </w:p>
    <w:p w14:paraId="10FC38BF" w14:textId="77777777" w:rsidR="004319E4" w:rsidRPr="00D71A4F" w:rsidRDefault="004319E4">
      <w:pPr>
        <w:ind w:left="-5" w:right="11"/>
        <w:rPr>
          <w:rFonts w:ascii="Arial" w:hAnsi="Arial" w:cs="Arial"/>
        </w:rPr>
      </w:pPr>
      <w:r w:rsidRPr="00D71A4F">
        <w:rPr>
          <w:rFonts w:ascii="Arial" w:hAnsi="Arial" w:cs="Arial"/>
        </w:rPr>
        <w:t xml:space="preserve">Importantly, you do not need to change the way you contact existing patients about their direct care.  </w:t>
      </w:r>
    </w:p>
    <w:p w14:paraId="3719B2A8" w14:textId="77777777" w:rsidR="004319E4" w:rsidRPr="00D71A4F" w:rsidRDefault="004319E4">
      <w:pPr>
        <w:ind w:left="-5" w:right="11"/>
        <w:rPr>
          <w:rFonts w:ascii="Arial" w:hAnsi="Arial" w:cs="Arial"/>
        </w:rPr>
      </w:pPr>
      <w:r w:rsidRPr="00D71A4F">
        <w:rPr>
          <w:rFonts w:ascii="Arial" w:hAnsi="Arial" w:cs="Arial"/>
        </w:rPr>
        <w:t xml:space="preserve">The most significant change for optical practices is that all GOS providers are classified as public authorities. This means that </w:t>
      </w:r>
      <w:r w:rsidRPr="00D71A4F">
        <w:rPr>
          <w:rFonts w:ascii="Arial" w:hAnsi="Arial" w:cs="Arial"/>
          <w:b/>
        </w:rPr>
        <w:t>all GOS providers must appoint a Data Protection Officer</w:t>
      </w:r>
      <w:r w:rsidRPr="00D71A4F">
        <w:rPr>
          <w:rFonts w:ascii="Arial" w:hAnsi="Arial" w:cs="Arial"/>
        </w:rPr>
        <w:t xml:space="preserve">. See section 2.2. </w:t>
      </w:r>
    </w:p>
    <w:p w14:paraId="6FE7A481" w14:textId="77777777" w:rsidR="004319E4" w:rsidRPr="00D71A4F" w:rsidRDefault="004319E4">
      <w:pPr>
        <w:spacing w:after="19" w:line="259" w:lineRule="auto"/>
        <w:ind w:left="0" w:firstLine="0"/>
        <w:rPr>
          <w:rFonts w:ascii="Arial" w:hAnsi="Arial" w:cs="Arial"/>
        </w:rPr>
      </w:pPr>
      <w:r w:rsidRPr="00D71A4F">
        <w:rPr>
          <w:rFonts w:ascii="Arial" w:hAnsi="Arial" w:cs="Arial"/>
        </w:rPr>
        <w:t xml:space="preserve"> </w:t>
      </w:r>
    </w:p>
    <w:p w14:paraId="249EE206" w14:textId="77777777" w:rsidR="004319E4" w:rsidRPr="00D71A4F" w:rsidRDefault="004319E4">
      <w:pPr>
        <w:spacing w:after="232" w:line="259" w:lineRule="auto"/>
        <w:ind w:left="0" w:firstLine="0"/>
        <w:rPr>
          <w:rFonts w:ascii="Arial" w:hAnsi="Arial" w:cs="Arial"/>
        </w:rPr>
      </w:pPr>
      <w:r w:rsidRPr="00D71A4F">
        <w:rPr>
          <w:rFonts w:ascii="Arial" w:hAnsi="Arial" w:cs="Arial"/>
        </w:rPr>
        <w:t xml:space="preserve"> </w:t>
      </w:r>
    </w:p>
    <w:p w14:paraId="7E51CF13" w14:textId="77777777" w:rsidR="004319E4" w:rsidRPr="00D71A4F" w:rsidRDefault="004319E4">
      <w:pPr>
        <w:spacing w:after="0" w:line="259" w:lineRule="auto"/>
        <w:ind w:left="0" w:firstLine="0"/>
        <w:rPr>
          <w:rFonts w:ascii="Arial" w:hAnsi="Arial" w:cs="Arial"/>
        </w:rPr>
      </w:pPr>
      <w:r w:rsidRPr="00D71A4F">
        <w:rPr>
          <w:rFonts w:ascii="Arial" w:hAnsi="Arial" w:cs="Arial"/>
          <w:b/>
        </w:rPr>
        <w:t xml:space="preserve"> </w:t>
      </w:r>
      <w:r w:rsidRPr="00D71A4F">
        <w:rPr>
          <w:rFonts w:ascii="Arial" w:hAnsi="Arial" w:cs="Arial"/>
          <w:b/>
        </w:rPr>
        <w:tab/>
        <w:t xml:space="preserve"> </w:t>
      </w:r>
      <w:r w:rsidRPr="00D71A4F">
        <w:rPr>
          <w:rFonts w:ascii="Arial" w:hAnsi="Arial" w:cs="Arial"/>
        </w:rPr>
        <w:br w:type="page"/>
      </w:r>
    </w:p>
    <w:p w14:paraId="2382165F" w14:textId="77777777" w:rsidR="004319E4" w:rsidRPr="00D71A4F" w:rsidRDefault="004319E4">
      <w:pPr>
        <w:pStyle w:val="Heading1"/>
        <w:ind w:left="-5" w:right="0"/>
        <w:rPr>
          <w:rFonts w:ascii="Arial" w:hAnsi="Arial" w:cs="Arial"/>
        </w:rPr>
      </w:pPr>
      <w:bookmarkStart w:id="5" w:name="_Toc30768817"/>
      <w:r w:rsidRPr="00D71A4F">
        <w:rPr>
          <w:rFonts w:ascii="Arial" w:hAnsi="Arial" w:cs="Arial"/>
        </w:rPr>
        <w:lastRenderedPageBreak/>
        <w:t>PART 2: WHAT YOU NEED TO DO</w:t>
      </w:r>
      <w:bookmarkEnd w:id="5"/>
      <w:r w:rsidRPr="00D71A4F">
        <w:rPr>
          <w:rFonts w:ascii="Arial" w:hAnsi="Arial" w:cs="Arial"/>
        </w:rPr>
        <w:t xml:space="preserve">  </w:t>
      </w:r>
    </w:p>
    <w:p w14:paraId="50A107C3" w14:textId="77777777" w:rsidR="004319E4" w:rsidRPr="00D71A4F" w:rsidRDefault="004319E4">
      <w:pPr>
        <w:ind w:left="-5" w:right="11"/>
        <w:rPr>
          <w:rFonts w:ascii="Arial" w:hAnsi="Arial" w:cs="Arial"/>
        </w:rPr>
      </w:pPr>
      <w:r w:rsidRPr="00D71A4F">
        <w:rPr>
          <w:rFonts w:ascii="Arial" w:hAnsi="Arial" w:cs="Arial"/>
        </w:rPr>
        <w:t xml:space="preserve">In this section we set out the steps you can take to help you comply with the new rules. </w:t>
      </w:r>
    </w:p>
    <w:p w14:paraId="4CB3A818" w14:textId="77777777" w:rsidR="004319E4" w:rsidRPr="00D71A4F" w:rsidRDefault="004319E4">
      <w:pPr>
        <w:spacing w:after="4"/>
        <w:ind w:left="-5" w:right="11"/>
        <w:rPr>
          <w:rFonts w:ascii="Arial" w:hAnsi="Arial" w:cs="Arial"/>
        </w:rPr>
      </w:pPr>
      <w:r w:rsidRPr="00D71A4F">
        <w:rPr>
          <w:rFonts w:ascii="Arial" w:hAnsi="Arial" w:cs="Arial"/>
        </w:rPr>
        <w:t xml:space="preserve">Complying with data protection law is an ongoing process, this means you will need to have systems in place to ensure you are always meeting your obligations to protect personal data.  This is particularly important when processing health care data as it is a special category of personal data.  </w:t>
      </w:r>
    </w:p>
    <w:p w14:paraId="23447BE9" w14:textId="77777777" w:rsidR="004319E4" w:rsidRPr="00D71A4F" w:rsidRDefault="004319E4">
      <w:pPr>
        <w:spacing w:after="19" w:line="259" w:lineRule="auto"/>
        <w:ind w:left="0" w:firstLine="0"/>
        <w:rPr>
          <w:rFonts w:ascii="Arial" w:hAnsi="Arial" w:cs="Arial"/>
        </w:rPr>
      </w:pPr>
      <w:r w:rsidRPr="00D71A4F">
        <w:rPr>
          <w:rFonts w:ascii="Arial" w:hAnsi="Arial" w:cs="Arial"/>
        </w:rPr>
        <w:t xml:space="preserve"> </w:t>
      </w:r>
    </w:p>
    <w:p w14:paraId="15524F4C" w14:textId="7DE41439" w:rsidR="004319E4" w:rsidRPr="00D71A4F" w:rsidRDefault="004319E4">
      <w:pPr>
        <w:spacing w:after="293"/>
        <w:ind w:left="-5" w:right="11"/>
        <w:rPr>
          <w:rFonts w:ascii="Arial" w:hAnsi="Arial" w:cs="Arial"/>
        </w:rPr>
      </w:pPr>
      <w:r w:rsidRPr="00D71A4F">
        <w:rPr>
          <w:rFonts w:ascii="Arial" w:hAnsi="Arial" w:cs="Arial"/>
        </w:rPr>
        <w:t xml:space="preserve">Managers of optical practices and businesses and anyone who works in the practice/business should read and follow this guidance to be sure they are meeting their obligations.  In addition, as a minimum anyone working in an optical practice should be familiar and compliant with the GOS contract sections A10.1, 10.2, 10.4 and 10.5 of Quality in Optometry.   </w:t>
      </w:r>
    </w:p>
    <w:tbl>
      <w:tblPr>
        <w:tblStyle w:val="TableGrid0"/>
        <w:tblW w:w="0" w:type="auto"/>
        <w:tblInd w:w="-5" w:type="dxa"/>
        <w:tblLook w:val="04A0" w:firstRow="1" w:lastRow="0" w:firstColumn="1" w:lastColumn="0" w:noHBand="0" w:noVBand="1"/>
      </w:tblPr>
      <w:tblGrid>
        <w:gridCol w:w="9354"/>
      </w:tblGrid>
      <w:tr w:rsidR="004319E4" w:rsidRPr="00D71A4F" w14:paraId="77552584" w14:textId="77777777" w:rsidTr="006711CC">
        <w:tc>
          <w:tcPr>
            <w:tcW w:w="9354" w:type="dxa"/>
          </w:tcPr>
          <w:p w14:paraId="49044360" w14:textId="77777777" w:rsidR="004319E4" w:rsidRPr="00D71A4F" w:rsidRDefault="004319E4" w:rsidP="006711CC">
            <w:pPr>
              <w:spacing w:after="0"/>
              <w:ind w:left="0" w:right="11" w:firstLine="0"/>
              <w:contextualSpacing/>
              <w:rPr>
                <w:rFonts w:ascii="Arial" w:hAnsi="Arial" w:cs="Arial"/>
              </w:rPr>
            </w:pPr>
          </w:p>
          <w:p w14:paraId="4B565FBC" w14:textId="77777777" w:rsidR="004319E4" w:rsidRPr="00D71A4F" w:rsidRDefault="004319E4" w:rsidP="006711CC">
            <w:pPr>
              <w:spacing w:after="0"/>
              <w:ind w:left="0" w:right="11" w:firstLine="0"/>
              <w:contextualSpacing/>
              <w:rPr>
                <w:rFonts w:ascii="Arial" w:hAnsi="Arial" w:cs="Arial"/>
              </w:rPr>
            </w:pPr>
            <w:r w:rsidRPr="00D71A4F">
              <w:rPr>
                <w:rFonts w:ascii="Arial" w:hAnsi="Arial" w:cs="Arial"/>
              </w:rPr>
              <w:t>If you already have good data protection measures in place, the new law largely involves reviewing, updating and documenting existing procedures and policies to ensure they are compliant with new requirements, rather than starting from scratch. This should include ensuring all relevant employees are trained in the new requirements and procedures. You will also need to take some additional steps, such as appointing a DPO and determining the lawful bases you use to process personal data.</w:t>
            </w:r>
          </w:p>
          <w:p w14:paraId="2E546937" w14:textId="1BDB68F6" w:rsidR="004319E4" w:rsidRPr="00D71A4F" w:rsidRDefault="004319E4" w:rsidP="006711CC">
            <w:pPr>
              <w:spacing w:after="0"/>
              <w:ind w:left="0" w:right="11" w:firstLine="0"/>
              <w:contextualSpacing/>
              <w:rPr>
                <w:rFonts w:ascii="Arial" w:hAnsi="Arial" w:cs="Arial"/>
              </w:rPr>
            </w:pPr>
          </w:p>
        </w:tc>
      </w:tr>
    </w:tbl>
    <w:p w14:paraId="5EADD468" w14:textId="77777777" w:rsidR="004319E4" w:rsidRPr="00D71A4F" w:rsidRDefault="004319E4">
      <w:pPr>
        <w:pStyle w:val="Heading1"/>
        <w:tabs>
          <w:tab w:val="center" w:pos="2050"/>
        </w:tabs>
        <w:ind w:left="-15" w:right="0" w:firstLine="0"/>
        <w:rPr>
          <w:rFonts w:ascii="Arial" w:hAnsi="Arial" w:cs="Arial"/>
        </w:rPr>
      </w:pPr>
    </w:p>
    <w:p w14:paraId="08DA92F1" w14:textId="4BA39C3E" w:rsidR="004319E4" w:rsidRPr="00D71A4F" w:rsidRDefault="004319E4">
      <w:pPr>
        <w:pStyle w:val="Heading1"/>
        <w:tabs>
          <w:tab w:val="center" w:pos="2050"/>
        </w:tabs>
        <w:ind w:left="-15" w:right="0" w:firstLine="0"/>
        <w:rPr>
          <w:rFonts w:ascii="Arial" w:hAnsi="Arial" w:cs="Arial"/>
        </w:rPr>
      </w:pPr>
      <w:bookmarkStart w:id="6" w:name="_Toc30768818"/>
      <w:r w:rsidRPr="00D71A4F">
        <w:rPr>
          <w:rFonts w:ascii="Arial" w:hAnsi="Arial" w:cs="Arial"/>
        </w:rPr>
        <w:t xml:space="preserve">2.1  </w:t>
      </w:r>
      <w:r w:rsidRPr="00D71A4F">
        <w:rPr>
          <w:rFonts w:ascii="Arial" w:hAnsi="Arial" w:cs="Arial"/>
        </w:rPr>
        <w:tab/>
        <w:t>Key roles and responsibilities</w:t>
      </w:r>
      <w:bookmarkEnd w:id="6"/>
      <w:r w:rsidRPr="00D71A4F">
        <w:rPr>
          <w:rFonts w:ascii="Arial" w:hAnsi="Arial" w:cs="Arial"/>
        </w:rPr>
        <w:t xml:space="preserve">  </w:t>
      </w:r>
    </w:p>
    <w:p w14:paraId="4443CE84" w14:textId="77777777" w:rsidR="004319E4" w:rsidRPr="00D71A4F" w:rsidRDefault="004319E4">
      <w:pPr>
        <w:ind w:left="-5" w:right="11"/>
        <w:rPr>
          <w:rFonts w:ascii="Arial" w:hAnsi="Arial" w:cs="Arial"/>
        </w:rPr>
      </w:pPr>
      <w:r w:rsidRPr="00D71A4F">
        <w:rPr>
          <w:rFonts w:ascii="Arial" w:hAnsi="Arial" w:cs="Arial"/>
        </w:rPr>
        <w:t xml:space="preserve">The definitions of a </w:t>
      </w:r>
      <w:r w:rsidRPr="00D71A4F">
        <w:rPr>
          <w:rFonts w:ascii="Arial" w:hAnsi="Arial" w:cs="Arial"/>
          <w:b/>
        </w:rPr>
        <w:t>data controller</w:t>
      </w:r>
      <w:r w:rsidRPr="00D71A4F">
        <w:rPr>
          <w:rFonts w:ascii="Arial" w:hAnsi="Arial" w:cs="Arial"/>
        </w:rPr>
        <w:t xml:space="preserve"> and </w:t>
      </w:r>
      <w:r w:rsidRPr="00D71A4F">
        <w:rPr>
          <w:rFonts w:ascii="Arial" w:hAnsi="Arial" w:cs="Arial"/>
          <w:b/>
        </w:rPr>
        <w:t>data processor</w:t>
      </w:r>
      <w:r w:rsidRPr="00D71A4F">
        <w:rPr>
          <w:rFonts w:ascii="Arial" w:hAnsi="Arial" w:cs="Arial"/>
        </w:rPr>
        <w:t xml:space="preserve"> are essentially the same as under the previous law.  </w:t>
      </w:r>
    </w:p>
    <w:p w14:paraId="78566E50" w14:textId="77777777" w:rsidR="004319E4" w:rsidRPr="00D71A4F" w:rsidRDefault="004319E4">
      <w:pPr>
        <w:spacing w:after="237"/>
        <w:ind w:left="-5" w:right="11"/>
        <w:rPr>
          <w:rFonts w:ascii="Arial" w:hAnsi="Arial" w:cs="Arial"/>
        </w:rPr>
      </w:pPr>
      <w:r w:rsidRPr="00D71A4F">
        <w:rPr>
          <w:rFonts w:ascii="Arial" w:hAnsi="Arial" w:cs="Arial"/>
          <w:b/>
        </w:rPr>
        <w:t>Data controllers</w:t>
      </w:r>
      <w:r w:rsidRPr="00D71A4F">
        <w:rPr>
          <w:rFonts w:ascii="Arial" w:hAnsi="Arial" w:cs="Arial"/>
        </w:rPr>
        <w:t xml:space="preserve"> – usually the practice or business owner or someone appointed by the practice or business owner who has overall control and responsibility for how personal data is collected, processed and stored in a practice/business.  The data controller is  </w:t>
      </w:r>
    </w:p>
    <w:p w14:paraId="26D2D8D1" w14:textId="77777777" w:rsidR="004319E4" w:rsidRPr="00D71A4F" w:rsidRDefault="004319E4" w:rsidP="006624C4">
      <w:pPr>
        <w:numPr>
          <w:ilvl w:val="0"/>
          <w:numId w:val="25"/>
        </w:numPr>
        <w:spacing w:after="42"/>
        <w:ind w:right="11"/>
        <w:rPr>
          <w:rFonts w:ascii="Arial" w:hAnsi="Arial" w:cs="Arial"/>
        </w:rPr>
      </w:pPr>
      <w:r w:rsidRPr="00D71A4F">
        <w:rPr>
          <w:rFonts w:ascii="Arial" w:hAnsi="Arial" w:cs="Arial"/>
        </w:rPr>
        <w:t xml:space="preserve">responsible for determining how and why personal data is processed; </w:t>
      </w:r>
    </w:p>
    <w:p w14:paraId="01D4972E" w14:textId="77777777" w:rsidR="004319E4" w:rsidRPr="00D71A4F" w:rsidRDefault="004319E4" w:rsidP="006624C4">
      <w:pPr>
        <w:numPr>
          <w:ilvl w:val="0"/>
          <w:numId w:val="25"/>
        </w:numPr>
        <w:spacing w:after="40"/>
        <w:ind w:right="11"/>
        <w:rPr>
          <w:rFonts w:ascii="Arial" w:hAnsi="Arial" w:cs="Arial"/>
        </w:rPr>
      </w:pPr>
      <w:r w:rsidRPr="00D71A4F">
        <w:rPr>
          <w:rFonts w:ascii="Arial" w:hAnsi="Arial" w:cs="Arial"/>
        </w:rPr>
        <w:t xml:space="preserve">responsible (and liable) for personal data and any breaches;  </w:t>
      </w:r>
    </w:p>
    <w:p w14:paraId="53B87D9A" w14:textId="77777777" w:rsidR="004319E4" w:rsidRPr="00D71A4F" w:rsidRDefault="004319E4" w:rsidP="006624C4">
      <w:pPr>
        <w:numPr>
          <w:ilvl w:val="0"/>
          <w:numId w:val="25"/>
        </w:numPr>
        <w:spacing w:after="8"/>
        <w:ind w:right="11"/>
        <w:rPr>
          <w:rFonts w:ascii="Arial" w:hAnsi="Arial" w:cs="Arial"/>
        </w:rPr>
      </w:pPr>
      <w:r w:rsidRPr="00D71A4F">
        <w:rPr>
          <w:rFonts w:ascii="Arial" w:hAnsi="Arial" w:cs="Arial"/>
        </w:rPr>
        <w:t xml:space="preserve">responsible for reporting serious breaches to the ICO - with new reporting requirements (see section </w:t>
      </w:r>
    </w:p>
    <w:p w14:paraId="67B75822" w14:textId="77777777" w:rsidR="004319E4" w:rsidRPr="00D71A4F" w:rsidRDefault="004319E4" w:rsidP="006624C4">
      <w:pPr>
        <w:pStyle w:val="ListParagraph"/>
        <w:numPr>
          <w:ilvl w:val="0"/>
          <w:numId w:val="25"/>
        </w:numPr>
        <w:spacing w:after="42"/>
        <w:ind w:right="11"/>
        <w:rPr>
          <w:rFonts w:ascii="Arial" w:hAnsi="Arial" w:cs="Arial"/>
        </w:rPr>
      </w:pPr>
      <w:r w:rsidRPr="00D71A4F">
        <w:rPr>
          <w:rFonts w:ascii="Arial" w:hAnsi="Arial" w:cs="Arial"/>
        </w:rPr>
        <w:t xml:space="preserve">2.7); and  </w:t>
      </w:r>
    </w:p>
    <w:p w14:paraId="7FBD035D" w14:textId="77777777" w:rsidR="004319E4" w:rsidRPr="00D71A4F" w:rsidRDefault="004319E4" w:rsidP="006624C4">
      <w:pPr>
        <w:numPr>
          <w:ilvl w:val="0"/>
          <w:numId w:val="25"/>
        </w:numPr>
        <w:ind w:right="11"/>
        <w:rPr>
          <w:rFonts w:ascii="Arial" w:hAnsi="Arial" w:cs="Arial"/>
        </w:rPr>
      </w:pPr>
      <w:r w:rsidRPr="00D71A4F">
        <w:rPr>
          <w:rFonts w:ascii="Arial" w:hAnsi="Arial" w:cs="Arial"/>
        </w:rPr>
        <w:t xml:space="preserve">responsible for ensuring that data processors – people and organisations who handle data on the data controller’s behalf - comply with the law.  </w:t>
      </w:r>
    </w:p>
    <w:p w14:paraId="11370006" w14:textId="77777777" w:rsidR="004319E4" w:rsidRPr="00D71A4F" w:rsidRDefault="004319E4">
      <w:pPr>
        <w:ind w:left="-5" w:right="11"/>
        <w:rPr>
          <w:rFonts w:ascii="Arial" w:hAnsi="Arial" w:cs="Arial"/>
        </w:rPr>
      </w:pPr>
      <w:r w:rsidRPr="00D71A4F">
        <w:rPr>
          <w:rFonts w:ascii="Arial" w:hAnsi="Arial" w:cs="Arial"/>
          <w:b/>
        </w:rPr>
        <w:t>Data processors</w:t>
      </w:r>
      <w:r w:rsidRPr="00D71A4F">
        <w:rPr>
          <w:rFonts w:ascii="Arial" w:hAnsi="Arial" w:cs="Arial"/>
        </w:rPr>
        <w:t xml:space="preserve"> are all other persons who process personal data on behalf of the controller (other than a person who is an employee of the controller). In an optical practice this could include a practice management software provider or payroll company, for example. It is also likely to include locums. </w:t>
      </w:r>
    </w:p>
    <w:p w14:paraId="060895C3" w14:textId="77777777" w:rsidR="004319E4" w:rsidRPr="00D71A4F" w:rsidRDefault="004319E4">
      <w:pPr>
        <w:ind w:left="-5" w:right="11"/>
        <w:rPr>
          <w:rFonts w:ascii="Arial" w:hAnsi="Arial" w:cs="Arial"/>
        </w:rPr>
      </w:pPr>
      <w:r w:rsidRPr="00D71A4F">
        <w:rPr>
          <w:rFonts w:ascii="Arial" w:hAnsi="Arial" w:cs="Arial"/>
        </w:rPr>
        <w:lastRenderedPageBreak/>
        <w:t xml:space="preserve">The most significant change is that for the first time data processors will also become liable for breaches. It is therefore important for data controllers and processors to have contracts in place which explain how obligations under the new data protection law will be managed. This means you may need to review and update your contracts. </w:t>
      </w:r>
    </w:p>
    <w:p w14:paraId="12661A6E" w14:textId="77777777" w:rsidR="004319E4" w:rsidRPr="00D71A4F" w:rsidRDefault="004319E4">
      <w:pPr>
        <w:ind w:left="-5" w:right="11"/>
        <w:rPr>
          <w:rFonts w:ascii="Arial" w:hAnsi="Arial" w:cs="Arial"/>
        </w:rPr>
      </w:pPr>
      <w:r w:rsidRPr="00D71A4F">
        <w:rPr>
          <w:rFonts w:ascii="Arial" w:hAnsi="Arial" w:cs="Arial"/>
        </w:rPr>
        <w:t xml:space="preserve">In the case of </w:t>
      </w:r>
      <w:r w:rsidRPr="00D71A4F">
        <w:rPr>
          <w:rFonts w:ascii="Arial" w:hAnsi="Arial" w:cs="Arial"/>
          <w:b/>
        </w:rPr>
        <w:t>locums</w:t>
      </w:r>
      <w:r w:rsidRPr="00D71A4F">
        <w:rPr>
          <w:rFonts w:ascii="Arial" w:hAnsi="Arial" w:cs="Arial"/>
        </w:rPr>
        <w:t xml:space="preserve"> it is not yet clear what, if any, impact this will have on those individual health care professionals, but it is possible that as a processor they will be liable for data breaches.    </w:t>
      </w:r>
    </w:p>
    <w:p w14:paraId="7210B776" w14:textId="77777777" w:rsidR="004319E4" w:rsidRPr="00D71A4F" w:rsidRDefault="004319E4">
      <w:pPr>
        <w:ind w:left="-5" w:right="11"/>
        <w:rPr>
          <w:rFonts w:ascii="Arial" w:hAnsi="Arial" w:cs="Arial"/>
        </w:rPr>
      </w:pPr>
      <w:r w:rsidRPr="00D71A4F">
        <w:rPr>
          <w:rFonts w:ascii="Arial" w:hAnsi="Arial" w:cs="Arial"/>
        </w:rPr>
        <w:t xml:space="preserve">The ICO guidance to the GDPR includes a checklist for contracts. We recommend controllers who use external processors use the ICO checklist for contracts, which can be found </w:t>
      </w:r>
      <w:hyperlink r:id="rId9">
        <w:r w:rsidRPr="00D71A4F">
          <w:rPr>
            <w:rFonts w:ascii="Arial" w:hAnsi="Arial" w:cs="Arial"/>
            <w:color w:val="0000FF"/>
            <w:u w:val="single" w:color="0000FF"/>
          </w:rPr>
          <w:t>here</w:t>
        </w:r>
      </w:hyperlink>
      <w:hyperlink r:id="rId10">
        <w:r w:rsidRPr="00D71A4F">
          <w:rPr>
            <w:rFonts w:ascii="Arial" w:hAnsi="Arial" w:cs="Arial"/>
          </w:rPr>
          <w:t>.</w:t>
        </w:r>
      </w:hyperlink>
      <w:r w:rsidRPr="00D71A4F">
        <w:rPr>
          <w:rFonts w:ascii="Arial" w:hAnsi="Arial" w:cs="Arial"/>
        </w:rPr>
        <w:t xml:space="preserve"> </w:t>
      </w:r>
      <w:r w:rsidRPr="00D71A4F">
        <w:rPr>
          <w:rFonts w:ascii="Arial" w:hAnsi="Arial" w:cs="Arial"/>
          <w:b/>
        </w:rPr>
        <w:t xml:space="preserve"> </w:t>
      </w:r>
    </w:p>
    <w:p w14:paraId="065B3157" w14:textId="77777777" w:rsidR="004319E4" w:rsidRPr="00D71A4F" w:rsidRDefault="004319E4">
      <w:pPr>
        <w:ind w:left="-5" w:right="11"/>
        <w:rPr>
          <w:rFonts w:ascii="Arial" w:hAnsi="Arial" w:cs="Arial"/>
        </w:rPr>
      </w:pPr>
      <w:r w:rsidRPr="00D71A4F">
        <w:rPr>
          <w:rFonts w:ascii="Arial" w:hAnsi="Arial" w:cs="Arial"/>
        </w:rPr>
        <w:t xml:space="preserve">Optical practices are required to appoint a </w:t>
      </w:r>
      <w:r w:rsidRPr="00D71A4F">
        <w:rPr>
          <w:rFonts w:ascii="Arial" w:hAnsi="Arial" w:cs="Arial"/>
          <w:b/>
        </w:rPr>
        <w:t xml:space="preserve">Data Protection Officer </w:t>
      </w:r>
      <w:r w:rsidRPr="00D71A4F">
        <w:rPr>
          <w:rFonts w:ascii="Arial" w:hAnsi="Arial" w:cs="Arial"/>
        </w:rPr>
        <w:t xml:space="preserve">(DPO) if they provide GOS, or if they don’t provide GOS but do process large amounts of special category personal data such as healthcare data. </w:t>
      </w:r>
    </w:p>
    <w:p w14:paraId="738099AA" w14:textId="77777777" w:rsidR="004319E4" w:rsidRPr="00D71A4F" w:rsidRDefault="004319E4">
      <w:pPr>
        <w:spacing w:after="253"/>
        <w:ind w:left="-5" w:right="11"/>
        <w:rPr>
          <w:rFonts w:ascii="Arial" w:hAnsi="Arial" w:cs="Arial"/>
        </w:rPr>
      </w:pPr>
      <w:r w:rsidRPr="00D71A4F">
        <w:rPr>
          <w:rFonts w:ascii="Arial" w:hAnsi="Arial" w:cs="Arial"/>
        </w:rPr>
        <w:t xml:space="preserve">You should consider the following points carefully before deciding who to appoint as DPO: </w:t>
      </w:r>
    </w:p>
    <w:p w14:paraId="2793FE67" w14:textId="77777777" w:rsidR="004319E4" w:rsidRPr="00D71A4F" w:rsidRDefault="004319E4" w:rsidP="004319E4">
      <w:pPr>
        <w:pStyle w:val="ListParagraph"/>
        <w:numPr>
          <w:ilvl w:val="0"/>
          <w:numId w:val="26"/>
        </w:numPr>
        <w:spacing w:after="28"/>
        <w:ind w:right="11"/>
        <w:rPr>
          <w:rFonts w:ascii="Arial" w:hAnsi="Arial" w:cs="Arial"/>
        </w:rPr>
      </w:pPr>
      <w:r w:rsidRPr="00D71A4F">
        <w:rPr>
          <w:rFonts w:ascii="Arial" w:hAnsi="Arial" w:cs="Arial"/>
        </w:rPr>
        <w:t xml:space="preserve">the DPO must have experience and expert knowledge of data protection law  </w:t>
      </w:r>
    </w:p>
    <w:p w14:paraId="739381C4" w14:textId="77777777" w:rsidR="004319E4" w:rsidRPr="00D71A4F" w:rsidRDefault="004319E4" w:rsidP="004319E4">
      <w:pPr>
        <w:pStyle w:val="ListParagraph"/>
        <w:numPr>
          <w:ilvl w:val="0"/>
          <w:numId w:val="26"/>
        </w:numPr>
        <w:spacing w:after="48"/>
        <w:ind w:right="11"/>
        <w:rPr>
          <w:rFonts w:ascii="Arial" w:hAnsi="Arial" w:cs="Arial"/>
        </w:rPr>
      </w:pPr>
      <w:r w:rsidRPr="00D71A4F">
        <w:rPr>
          <w:rFonts w:ascii="Arial" w:hAnsi="Arial" w:cs="Arial"/>
        </w:rPr>
        <w:t xml:space="preserve">they should report directly to the highest level of management and have independence to perform their tasks </w:t>
      </w:r>
    </w:p>
    <w:p w14:paraId="7CE63FEC" w14:textId="77777777" w:rsidR="004319E4" w:rsidRPr="00D71A4F" w:rsidRDefault="004319E4" w:rsidP="004319E4">
      <w:pPr>
        <w:pStyle w:val="ListParagraph"/>
        <w:numPr>
          <w:ilvl w:val="0"/>
          <w:numId w:val="26"/>
        </w:numPr>
        <w:spacing w:after="181"/>
        <w:ind w:right="11"/>
        <w:rPr>
          <w:rFonts w:ascii="Arial" w:hAnsi="Arial" w:cs="Arial"/>
        </w:rPr>
      </w:pPr>
      <w:r w:rsidRPr="00D71A4F">
        <w:rPr>
          <w:rFonts w:ascii="Arial" w:hAnsi="Arial" w:cs="Arial"/>
        </w:rPr>
        <w:t xml:space="preserve">their other tasks or duties should not create a conflict of interest with their role as DPO  </w:t>
      </w:r>
    </w:p>
    <w:p w14:paraId="282F4D87" w14:textId="77777777" w:rsidR="004319E4" w:rsidRPr="00D71A4F" w:rsidRDefault="004319E4">
      <w:pPr>
        <w:spacing w:after="253"/>
        <w:ind w:left="-5" w:right="11"/>
        <w:rPr>
          <w:rFonts w:ascii="Arial" w:hAnsi="Arial" w:cs="Arial"/>
        </w:rPr>
      </w:pPr>
      <w:r w:rsidRPr="00D71A4F">
        <w:rPr>
          <w:rFonts w:ascii="Arial" w:hAnsi="Arial" w:cs="Arial"/>
        </w:rPr>
        <w:t xml:space="preserve">The tasks of a DPO are </w:t>
      </w:r>
    </w:p>
    <w:p w14:paraId="39BDF335" w14:textId="77777777" w:rsidR="004319E4" w:rsidRPr="00D71A4F" w:rsidRDefault="004319E4" w:rsidP="004319E4">
      <w:pPr>
        <w:pStyle w:val="ListParagraph"/>
        <w:numPr>
          <w:ilvl w:val="0"/>
          <w:numId w:val="27"/>
        </w:numPr>
        <w:spacing w:after="48"/>
        <w:ind w:right="11"/>
        <w:rPr>
          <w:rFonts w:ascii="Arial" w:hAnsi="Arial" w:cs="Arial"/>
        </w:rPr>
      </w:pPr>
      <w:r w:rsidRPr="00D71A4F">
        <w:rPr>
          <w:rFonts w:ascii="Arial" w:hAnsi="Arial" w:cs="Arial"/>
        </w:rPr>
        <w:t xml:space="preserve">To inform and advise the data controller and other staff about their obligations with regard to the GDPR and other data protection laws </w:t>
      </w:r>
    </w:p>
    <w:p w14:paraId="472816D0" w14:textId="77777777" w:rsidR="004319E4" w:rsidRPr="00D71A4F" w:rsidRDefault="004319E4" w:rsidP="004319E4">
      <w:pPr>
        <w:pStyle w:val="ListParagraph"/>
        <w:numPr>
          <w:ilvl w:val="0"/>
          <w:numId w:val="27"/>
        </w:numPr>
        <w:spacing w:after="50"/>
        <w:ind w:right="11"/>
        <w:rPr>
          <w:rFonts w:ascii="Arial" w:hAnsi="Arial" w:cs="Arial"/>
        </w:rPr>
      </w:pPr>
      <w:r w:rsidRPr="00D71A4F">
        <w:rPr>
          <w:rFonts w:ascii="Arial" w:hAnsi="Arial" w:cs="Arial"/>
        </w:rPr>
        <w:t xml:space="preserve">To monitor compliance with data protection laws and policies, raise awareness of issues and provide staff training </w:t>
      </w:r>
    </w:p>
    <w:p w14:paraId="68000C3E" w14:textId="77777777" w:rsidR="004319E4" w:rsidRPr="00D71A4F" w:rsidRDefault="004319E4" w:rsidP="004319E4">
      <w:pPr>
        <w:pStyle w:val="ListParagraph"/>
        <w:numPr>
          <w:ilvl w:val="0"/>
          <w:numId w:val="27"/>
        </w:numPr>
        <w:ind w:right="11"/>
        <w:rPr>
          <w:rFonts w:ascii="Arial" w:hAnsi="Arial" w:cs="Arial"/>
        </w:rPr>
      </w:pPr>
      <w:r w:rsidRPr="00D71A4F">
        <w:rPr>
          <w:rFonts w:ascii="Arial" w:hAnsi="Arial" w:cs="Arial"/>
        </w:rPr>
        <w:t xml:space="preserve">To be the first point of contact with the ICO and for individuals whose personal data is processed. </w:t>
      </w:r>
    </w:p>
    <w:p w14:paraId="64E288D4" w14:textId="77777777" w:rsidR="004319E4" w:rsidRPr="00D71A4F" w:rsidRDefault="004319E4">
      <w:pPr>
        <w:ind w:left="-5" w:right="11"/>
        <w:rPr>
          <w:rFonts w:ascii="Arial" w:hAnsi="Arial" w:cs="Arial"/>
        </w:rPr>
      </w:pPr>
      <w:r w:rsidRPr="00D71A4F">
        <w:rPr>
          <w:rFonts w:ascii="Arial" w:hAnsi="Arial" w:cs="Arial"/>
        </w:rPr>
        <w:t xml:space="preserve">The ICO has been clear that the knowledge and expertise that the DPO is required to have should be proportionate to the type of processing carried out and the level of risk. </w:t>
      </w:r>
    </w:p>
    <w:p w14:paraId="61A812D7" w14:textId="77777777" w:rsidR="004319E4" w:rsidRPr="00D71A4F" w:rsidRDefault="004319E4">
      <w:pPr>
        <w:ind w:left="-5" w:right="11"/>
        <w:rPr>
          <w:rFonts w:ascii="Arial" w:hAnsi="Arial" w:cs="Arial"/>
        </w:rPr>
      </w:pPr>
      <w:r w:rsidRPr="00D71A4F">
        <w:rPr>
          <w:rFonts w:ascii="Arial" w:hAnsi="Arial" w:cs="Arial"/>
        </w:rPr>
        <w:t xml:space="preserve">It may not be appropriate to give the DPO title to a member of staff simply because they have previously led on data protection for the organisation. You may also want to note that the ICO has indicated that it is acceptable for a DPO to be shared by several practices. </w:t>
      </w:r>
    </w:p>
    <w:p w14:paraId="07E7BC8B" w14:textId="77777777" w:rsidR="004319E4" w:rsidRPr="00D71A4F" w:rsidRDefault="004319E4">
      <w:pPr>
        <w:ind w:left="-5" w:right="11"/>
        <w:rPr>
          <w:rFonts w:ascii="Arial" w:hAnsi="Arial" w:cs="Arial"/>
        </w:rPr>
      </w:pPr>
      <w:r w:rsidRPr="00D71A4F">
        <w:rPr>
          <w:rFonts w:ascii="Arial" w:hAnsi="Arial" w:cs="Arial"/>
        </w:rPr>
        <w:t xml:space="preserve">The ICO has recognised that small organisations may find it difficult to identify (or may not have) an employee who has both the skills to take on the role, and no potential conflict of interest with their other duties as an employee. The ICO has indicated that it will be pragmatic when dealing with such cases, and that if an optical practice appoints a DPO with a potential conflict of interest then the practice should document the reasons for the appointment, what the possible conflicts of interest, are and what measures (if any) will be taken to reduce or eliminate such conflicts. </w:t>
      </w:r>
    </w:p>
    <w:p w14:paraId="6038CC54" w14:textId="77777777" w:rsidR="004319E4" w:rsidRPr="00D71A4F" w:rsidRDefault="004319E4">
      <w:pPr>
        <w:ind w:left="-5" w:right="11"/>
        <w:rPr>
          <w:rFonts w:ascii="Arial" w:hAnsi="Arial" w:cs="Arial"/>
        </w:rPr>
      </w:pPr>
      <w:r w:rsidRPr="00D71A4F">
        <w:rPr>
          <w:rFonts w:ascii="Arial" w:hAnsi="Arial" w:cs="Arial"/>
        </w:rPr>
        <w:lastRenderedPageBreak/>
        <w:t xml:space="preserve">You can find further information on the role of the DPO on the ICO </w:t>
      </w:r>
      <w:hyperlink r:id="rId11">
        <w:r w:rsidRPr="00D71A4F">
          <w:rPr>
            <w:rFonts w:ascii="Arial" w:hAnsi="Arial" w:cs="Arial"/>
            <w:color w:val="0000FF"/>
            <w:u w:val="single" w:color="0000FF"/>
          </w:rPr>
          <w:t>website</w:t>
        </w:r>
      </w:hyperlink>
      <w:hyperlink r:id="rId12">
        <w:r w:rsidRPr="00D71A4F">
          <w:rPr>
            <w:rFonts w:ascii="Arial" w:hAnsi="Arial" w:cs="Arial"/>
          </w:rPr>
          <w:t xml:space="preserve"> </w:t>
        </w:r>
      </w:hyperlink>
      <w:r w:rsidRPr="00D71A4F">
        <w:rPr>
          <w:rFonts w:ascii="Arial" w:hAnsi="Arial" w:cs="Arial"/>
        </w:rPr>
        <w:t xml:space="preserve">and, specifically for NHS healthcare providers, on the Information Governance Alliance </w:t>
      </w:r>
      <w:hyperlink r:id="rId13">
        <w:r w:rsidRPr="00D71A4F">
          <w:rPr>
            <w:rFonts w:ascii="Arial" w:hAnsi="Arial" w:cs="Arial"/>
            <w:color w:val="0000FF"/>
            <w:u w:val="single" w:color="0000FF"/>
          </w:rPr>
          <w:t>website</w:t>
        </w:r>
      </w:hyperlink>
      <w:hyperlink r:id="rId14">
        <w:r w:rsidRPr="00D71A4F">
          <w:rPr>
            <w:rFonts w:ascii="Arial" w:hAnsi="Arial" w:cs="Arial"/>
          </w:rPr>
          <w:t>.</w:t>
        </w:r>
      </w:hyperlink>
      <w:r w:rsidRPr="00D71A4F">
        <w:rPr>
          <w:rFonts w:ascii="Arial" w:hAnsi="Arial" w:cs="Arial"/>
        </w:rPr>
        <w:t xml:space="preserve"> </w:t>
      </w:r>
    </w:p>
    <w:p w14:paraId="7E039651" w14:textId="77777777" w:rsidR="004319E4" w:rsidRPr="00D71A4F" w:rsidRDefault="004319E4">
      <w:pPr>
        <w:ind w:left="-5" w:right="11"/>
        <w:rPr>
          <w:rFonts w:ascii="Arial" w:hAnsi="Arial" w:cs="Arial"/>
        </w:rPr>
      </w:pPr>
      <w:r w:rsidRPr="00D71A4F">
        <w:rPr>
          <w:rFonts w:ascii="Arial" w:hAnsi="Arial" w:cs="Arial"/>
        </w:rPr>
        <w:t xml:space="preserve">This section will be reviewed updated if there are significant changes. </w:t>
      </w:r>
    </w:p>
    <w:p w14:paraId="6AAA9F87" w14:textId="77777777" w:rsidR="004319E4" w:rsidRPr="00D71A4F" w:rsidRDefault="004319E4">
      <w:pPr>
        <w:pStyle w:val="Heading1"/>
        <w:tabs>
          <w:tab w:val="center" w:pos="1815"/>
        </w:tabs>
        <w:ind w:left="-15" w:right="0" w:firstLine="0"/>
        <w:rPr>
          <w:rFonts w:ascii="Arial" w:hAnsi="Arial" w:cs="Arial"/>
        </w:rPr>
      </w:pPr>
      <w:bookmarkStart w:id="7" w:name="_Toc30768819"/>
      <w:r w:rsidRPr="00D71A4F">
        <w:rPr>
          <w:rFonts w:ascii="Arial" w:hAnsi="Arial" w:cs="Arial"/>
        </w:rPr>
        <w:t xml:space="preserve">2.2  </w:t>
      </w:r>
      <w:r w:rsidRPr="00D71A4F">
        <w:rPr>
          <w:rFonts w:ascii="Arial" w:hAnsi="Arial" w:cs="Arial"/>
        </w:rPr>
        <w:tab/>
        <w:t>Getting people involved</w:t>
      </w:r>
      <w:bookmarkEnd w:id="7"/>
      <w:r w:rsidRPr="00D71A4F">
        <w:rPr>
          <w:rFonts w:ascii="Arial" w:hAnsi="Arial" w:cs="Arial"/>
        </w:rPr>
        <w:t xml:space="preserve">   </w:t>
      </w:r>
    </w:p>
    <w:p w14:paraId="5269DA62" w14:textId="06C2BE9A" w:rsidR="004319E4" w:rsidRPr="00D71A4F" w:rsidRDefault="004319E4" w:rsidP="004319E4">
      <w:pPr>
        <w:spacing w:after="4"/>
        <w:ind w:left="-5" w:right="11"/>
        <w:rPr>
          <w:rFonts w:ascii="Arial" w:hAnsi="Arial" w:cs="Arial"/>
        </w:rPr>
      </w:pPr>
      <w:r w:rsidRPr="00D71A4F">
        <w:rPr>
          <w:rFonts w:ascii="Arial" w:hAnsi="Arial" w:cs="Arial"/>
        </w:rPr>
        <w:t xml:space="preserve">Make sure decision makers and key people in your organisation are involved in helping you comply with data protection requirements.  This might include:  </w:t>
      </w:r>
    </w:p>
    <w:p w14:paraId="7816C9D2" w14:textId="77777777" w:rsidR="004319E4" w:rsidRPr="00D71A4F" w:rsidRDefault="004319E4" w:rsidP="004319E4">
      <w:pPr>
        <w:spacing w:after="4"/>
        <w:ind w:left="-5" w:right="11"/>
        <w:rPr>
          <w:rFonts w:ascii="Arial" w:hAnsi="Arial" w:cs="Arial"/>
        </w:rPr>
      </w:pPr>
    </w:p>
    <w:p w14:paraId="13817E11" w14:textId="77777777" w:rsidR="004319E4" w:rsidRPr="00D71A4F" w:rsidRDefault="004319E4" w:rsidP="004319E4">
      <w:pPr>
        <w:pStyle w:val="ListParagraph"/>
        <w:numPr>
          <w:ilvl w:val="0"/>
          <w:numId w:val="28"/>
        </w:numPr>
        <w:ind w:right="11"/>
        <w:rPr>
          <w:rFonts w:ascii="Arial" w:hAnsi="Arial" w:cs="Arial"/>
        </w:rPr>
      </w:pPr>
      <w:r w:rsidRPr="00D71A4F">
        <w:rPr>
          <w:rFonts w:ascii="Arial" w:hAnsi="Arial" w:cs="Arial"/>
        </w:rPr>
        <w:t xml:space="preserve">Business owners, partners, directors etc. </w:t>
      </w:r>
      <w:r w:rsidRPr="00D71A4F">
        <w:rPr>
          <w:rFonts w:ascii="Arial" w:hAnsi="Arial" w:cs="Arial"/>
        </w:rPr>
        <w:tab/>
      </w:r>
    </w:p>
    <w:p w14:paraId="0F68CFF6" w14:textId="50095023" w:rsidR="004319E4" w:rsidRPr="00D71A4F" w:rsidRDefault="004319E4" w:rsidP="004319E4">
      <w:pPr>
        <w:pStyle w:val="ListParagraph"/>
        <w:numPr>
          <w:ilvl w:val="0"/>
          <w:numId w:val="28"/>
        </w:numPr>
        <w:ind w:right="11"/>
        <w:rPr>
          <w:rFonts w:ascii="Arial" w:hAnsi="Arial" w:cs="Arial"/>
        </w:rPr>
      </w:pPr>
      <w:r w:rsidRPr="00D71A4F">
        <w:rPr>
          <w:rFonts w:ascii="Arial" w:hAnsi="Arial" w:cs="Arial"/>
        </w:rPr>
        <w:t xml:space="preserve">IT leads </w:t>
      </w:r>
    </w:p>
    <w:p w14:paraId="2A1FA8CD" w14:textId="77777777" w:rsidR="004319E4" w:rsidRPr="00D71A4F" w:rsidRDefault="004319E4" w:rsidP="004319E4">
      <w:pPr>
        <w:pStyle w:val="ListParagraph"/>
        <w:numPr>
          <w:ilvl w:val="0"/>
          <w:numId w:val="28"/>
        </w:numPr>
        <w:spacing w:after="241"/>
        <w:ind w:right="11"/>
        <w:rPr>
          <w:rFonts w:ascii="Arial" w:hAnsi="Arial" w:cs="Arial"/>
        </w:rPr>
      </w:pPr>
      <w:r w:rsidRPr="00D71A4F">
        <w:rPr>
          <w:rFonts w:ascii="Arial" w:hAnsi="Arial" w:cs="Arial"/>
        </w:rPr>
        <w:t xml:space="preserve">Practitioners – e.g. all registrants  </w:t>
      </w:r>
      <w:r w:rsidRPr="00D71A4F">
        <w:rPr>
          <w:rFonts w:ascii="Arial" w:hAnsi="Arial" w:cs="Arial"/>
        </w:rPr>
        <w:tab/>
      </w:r>
    </w:p>
    <w:p w14:paraId="42FECC03" w14:textId="15AD082F" w:rsidR="004319E4" w:rsidRPr="00D71A4F" w:rsidRDefault="004319E4" w:rsidP="004319E4">
      <w:pPr>
        <w:pStyle w:val="ListParagraph"/>
        <w:numPr>
          <w:ilvl w:val="0"/>
          <w:numId w:val="28"/>
        </w:numPr>
        <w:spacing w:after="241"/>
        <w:ind w:right="11"/>
        <w:rPr>
          <w:rFonts w:ascii="Arial" w:hAnsi="Arial" w:cs="Arial"/>
        </w:rPr>
      </w:pPr>
      <w:r w:rsidRPr="00D71A4F">
        <w:rPr>
          <w:rFonts w:ascii="Arial" w:hAnsi="Arial" w:cs="Arial"/>
        </w:rPr>
        <w:t xml:space="preserve">Information and Clinical Governance leads  </w:t>
      </w:r>
    </w:p>
    <w:p w14:paraId="66E8A848" w14:textId="77777777" w:rsidR="004319E4" w:rsidRPr="00D71A4F" w:rsidRDefault="004319E4" w:rsidP="004319E4">
      <w:pPr>
        <w:pStyle w:val="ListParagraph"/>
        <w:numPr>
          <w:ilvl w:val="0"/>
          <w:numId w:val="28"/>
        </w:numPr>
        <w:spacing w:after="0"/>
        <w:ind w:right="11"/>
        <w:rPr>
          <w:rFonts w:ascii="Arial" w:hAnsi="Arial" w:cs="Arial"/>
        </w:rPr>
      </w:pPr>
      <w:r w:rsidRPr="00D71A4F">
        <w:rPr>
          <w:rFonts w:ascii="Arial" w:hAnsi="Arial" w:cs="Arial"/>
        </w:rPr>
        <w:t xml:space="preserve">Practice managers </w:t>
      </w:r>
      <w:r w:rsidRPr="00D71A4F">
        <w:rPr>
          <w:rFonts w:ascii="Arial" w:hAnsi="Arial" w:cs="Arial"/>
        </w:rPr>
        <w:tab/>
      </w:r>
    </w:p>
    <w:p w14:paraId="5095DF8D" w14:textId="474CC32E" w:rsidR="004319E4" w:rsidRPr="00D71A4F" w:rsidRDefault="004319E4" w:rsidP="004319E4">
      <w:pPr>
        <w:pStyle w:val="ListParagraph"/>
        <w:numPr>
          <w:ilvl w:val="0"/>
          <w:numId w:val="28"/>
        </w:numPr>
        <w:spacing w:after="0"/>
        <w:ind w:right="11"/>
        <w:rPr>
          <w:rFonts w:ascii="Arial" w:hAnsi="Arial" w:cs="Arial"/>
        </w:rPr>
      </w:pPr>
      <w:r w:rsidRPr="00D71A4F">
        <w:rPr>
          <w:rFonts w:ascii="Arial" w:hAnsi="Arial" w:cs="Arial"/>
        </w:rPr>
        <w:t xml:space="preserve">Human Resource and payroll leads </w:t>
      </w:r>
    </w:p>
    <w:p w14:paraId="20ADF4EC" w14:textId="77777777" w:rsidR="004319E4" w:rsidRPr="00D71A4F" w:rsidRDefault="004319E4" w:rsidP="004319E4">
      <w:pPr>
        <w:pStyle w:val="ListParagraph"/>
        <w:numPr>
          <w:ilvl w:val="0"/>
          <w:numId w:val="28"/>
        </w:numPr>
        <w:spacing w:after="0"/>
        <w:ind w:right="11"/>
        <w:rPr>
          <w:rFonts w:ascii="Arial" w:hAnsi="Arial" w:cs="Arial"/>
        </w:rPr>
      </w:pPr>
      <w:r w:rsidRPr="00D71A4F">
        <w:rPr>
          <w:rFonts w:ascii="Arial" w:hAnsi="Arial" w:cs="Arial"/>
        </w:rPr>
        <w:t xml:space="preserve">Optical assistants, receptionists </w:t>
      </w:r>
    </w:p>
    <w:p w14:paraId="4C99CD43" w14:textId="601FCCD5" w:rsidR="004319E4" w:rsidRPr="00D71A4F" w:rsidRDefault="004319E4" w:rsidP="004319E4">
      <w:pPr>
        <w:spacing w:after="0" w:line="259" w:lineRule="auto"/>
        <w:ind w:left="216" w:firstLine="60"/>
        <w:rPr>
          <w:rFonts w:ascii="Arial" w:hAnsi="Arial" w:cs="Arial"/>
        </w:rPr>
      </w:pPr>
    </w:p>
    <w:p w14:paraId="436460C7" w14:textId="77777777" w:rsidR="004319E4" w:rsidRPr="00D71A4F" w:rsidRDefault="004319E4">
      <w:pPr>
        <w:spacing w:after="5"/>
        <w:ind w:left="-5" w:right="11"/>
        <w:rPr>
          <w:rFonts w:ascii="Arial" w:hAnsi="Arial" w:cs="Arial"/>
        </w:rPr>
      </w:pPr>
      <w:r w:rsidRPr="00D71A4F">
        <w:rPr>
          <w:rFonts w:ascii="Arial" w:hAnsi="Arial" w:cs="Arial"/>
        </w:rPr>
        <w:t xml:space="preserve">If you are an </w:t>
      </w:r>
      <w:r w:rsidRPr="00D71A4F">
        <w:rPr>
          <w:rFonts w:ascii="Arial" w:hAnsi="Arial" w:cs="Arial"/>
          <w:b/>
        </w:rPr>
        <w:t>employer</w:t>
      </w:r>
      <w:r w:rsidRPr="00D71A4F">
        <w:rPr>
          <w:rFonts w:ascii="Arial" w:hAnsi="Arial" w:cs="Arial"/>
        </w:rPr>
        <w:t xml:space="preserve">, ensure all employees are aware that data protection laws are changing and that they are kept informed about: </w:t>
      </w:r>
    </w:p>
    <w:p w14:paraId="7CE1792C" w14:textId="77777777" w:rsidR="004319E4" w:rsidRPr="00D71A4F" w:rsidRDefault="004319E4">
      <w:pPr>
        <w:spacing w:after="52" w:line="259" w:lineRule="auto"/>
        <w:ind w:left="0" w:firstLine="0"/>
        <w:rPr>
          <w:rFonts w:ascii="Arial" w:hAnsi="Arial" w:cs="Arial"/>
        </w:rPr>
      </w:pPr>
      <w:r w:rsidRPr="00D71A4F">
        <w:rPr>
          <w:rFonts w:ascii="Arial" w:hAnsi="Arial" w:cs="Arial"/>
        </w:rPr>
        <w:t xml:space="preserve"> </w:t>
      </w:r>
    </w:p>
    <w:p w14:paraId="70F286BD" w14:textId="77777777" w:rsidR="004319E4" w:rsidRPr="00D71A4F" w:rsidRDefault="004319E4" w:rsidP="004319E4">
      <w:pPr>
        <w:pStyle w:val="ListParagraph"/>
        <w:numPr>
          <w:ilvl w:val="0"/>
          <w:numId w:val="29"/>
        </w:numPr>
        <w:spacing w:after="39"/>
        <w:ind w:right="11"/>
        <w:rPr>
          <w:rFonts w:ascii="Arial" w:hAnsi="Arial" w:cs="Arial"/>
        </w:rPr>
      </w:pPr>
      <w:r w:rsidRPr="00D71A4F">
        <w:rPr>
          <w:rFonts w:ascii="Arial" w:hAnsi="Arial" w:cs="Arial"/>
        </w:rPr>
        <w:t xml:space="preserve">what the practice/company is doing or planning to do to comply with new rules </w:t>
      </w:r>
    </w:p>
    <w:p w14:paraId="2328074F" w14:textId="77777777" w:rsidR="004319E4" w:rsidRPr="00D71A4F" w:rsidRDefault="004319E4" w:rsidP="004319E4">
      <w:pPr>
        <w:pStyle w:val="ListParagraph"/>
        <w:numPr>
          <w:ilvl w:val="0"/>
          <w:numId w:val="29"/>
        </w:numPr>
        <w:spacing w:after="42"/>
        <w:ind w:right="11"/>
        <w:rPr>
          <w:rFonts w:ascii="Arial" w:hAnsi="Arial" w:cs="Arial"/>
        </w:rPr>
      </w:pPr>
      <w:r w:rsidRPr="00D71A4F">
        <w:rPr>
          <w:rFonts w:ascii="Arial" w:hAnsi="Arial" w:cs="Arial"/>
        </w:rPr>
        <w:t xml:space="preserve">their own responsibilities in respect of practice and company operating procedures; and </w:t>
      </w:r>
    </w:p>
    <w:p w14:paraId="51AD24E9" w14:textId="77777777" w:rsidR="004319E4" w:rsidRPr="00D71A4F" w:rsidRDefault="004319E4" w:rsidP="004319E4">
      <w:pPr>
        <w:pStyle w:val="ListParagraph"/>
        <w:numPr>
          <w:ilvl w:val="0"/>
          <w:numId w:val="29"/>
        </w:numPr>
        <w:ind w:right="11"/>
        <w:rPr>
          <w:rFonts w:ascii="Arial" w:hAnsi="Arial" w:cs="Arial"/>
        </w:rPr>
      </w:pPr>
      <w:r w:rsidRPr="00D71A4F">
        <w:rPr>
          <w:rFonts w:ascii="Arial" w:hAnsi="Arial" w:cs="Arial"/>
        </w:rPr>
        <w:t xml:space="preserve">training and continuing professional development (CET) opportunities in data protection and GDPR. </w:t>
      </w:r>
    </w:p>
    <w:p w14:paraId="7A6DD5DC" w14:textId="77777777" w:rsidR="004319E4" w:rsidRPr="00D71A4F" w:rsidRDefault="004319E4">
      <w:pPr>
        <w:spacing w:after="200" w:line="275" w:lineRule="auto"/>
        <w:ind w:left="0" w:right="2" w:firstLine="0"/>
        <w:jc w:val="both"/>
        <w:rPr>
          <w:rFonts w:ascii="Arial" w:hAnsi="Arial" w:cs="Arial"/>
        </w:rPr>
      </w:pPr>
      <w:r w:rsidRPr="00D71A4F">
        <w:rPr>
          <w:rFonts w:ascii="Arial" w:hAnsi="Arial" w:cs="Arial"/>
        </w:rPr>
        <w:t xml:space="preserve">Most optical </w:t>
      </w:r>
      <w:r w:rsidRPr="00D71A4F">
        <w:rPr>
          <w:rFonts w:ascii="Arial" w:hAnsi="Arial" w:cs="Arial"/>
          <w:b/>
        </w:rPr>
        <w:t>employees</w:t>
      </w:r>
      <w:r w:rsidRPr="00D71A4F">
        <w:rPr>
          <w:rFonts w:ascii="Arial" w:hAnsi="Arial" w:cs="Arial"/>
        </w:rPr>
        <w:t xml:space="preserve"> are likely to be employed by a data controller and the data controller will be responsible for ensuring processes are in place to comply with the new rules. Therefore, as now, individuals should comply with company data protection policies especially the things that are easy to forget such as the use of screen savers and secure passwords, etc.  </w:t>
      </w:r>
    </w:p>
    <w:p w14:paraId="62B2433E" w14:textId="77777777" w:rsidR="004319E4" w:rsidRPr="00D71A4F" w:rsidRDefault="004319E4">
      <w:pPr>
        <w:ind w:left="-5" w:right="11"/>
        <w:rPr>
          <w:rFonts w:ascii="Arial" w:hAnsi="Arial" w:cs="Arial"/>
        </w:rPr>
      </w:pPr>
      <w:r w:rsidRPr="00D71A4F">
        <w:rPr>
          <w:rFonts w:ascii="Arial" w:hAnsi="Arial" w:cs="Arial"/>
        </w:rPr>
        <w:t xml:space="preserve">People processing data who are not employees are likely to be classified as data processors.  Data about a person which is passed from a data controller to a third party data processor is only “personal data” for this purpose if the data processor can link the data to an identifiable individual.  </w:t>
      </w:r>
    </w:p>
    <w:p w14:paraId="6BCA9822" w14:textId="77777777" w:rsidR="004319E4" w:rsidRPr="00D71A4F" w:rsidRDefault="004319E4">
      <w:pPr>
        <w:ind w:left="-5" w:right="11"/>
        <w:rPr>
          <w:rFonts w:ascii="Arial" w:hAnsi="Arial" w:cs="Arial"/>
        </w:rPr>
      </w:pPr>
      <w:r w:rsidRPr="00D71A4F">
        <w:rPr>
          <w:rFonts w:ascii="Arial" w:hAnsi="Arial" w:cs="Arial"/>
        </w:rPr>
        <w:t xml:space="preserve">For example, an optical practice (the data controller) may send patient information to a supplier of spectacles or contact lenses (the data processor). If the optical practice gives the supplier an ID number for the patient, rather than information that could enable the supplier to identify the patient, then the prescription is not “personal data” and there will be no need for a GDPR-compliant contract between the practice and the supplier. However, if the practice gives the supplier the patient’s name and address so the supplier can send the order direct to the patient, this is “personal data” so a GDPR-compliant contract will be needed.   </w:t>
      </w:r>
    </w:p>
    <w:p w14:paraId="563B3ECB" w14:textId="77777777" w:rsidR="004319E4" w:rsidRPr="00D71A4F" w:rsidRDefault="004319E4">
      <w:pPr>
        <w:ind w:left="-5" w:right="11"/>
        <w:rPr>
          <w:rFonts w:ascii="Arial" w:hAnsi="Arial" w:cs="Arial"/>
        </w:rPr>
      </w:pPr>
      <w:r w:rsidRPr="00D71A4F">
        <w:rPr>
          <w:rFonts w:ascii="Arial" w:hAnsi="Arial" w:cs="Arial"/>
        </w:rPr>
        <w:t xml:space="preserve">In the case of </w:t>
      </w:r>
      <w:r w:rsidRPr="00D71A4F">
        <w:rPr>
          <w:rFonts w:ascii="Arial" w:hAnsi="Arial" w:cs="Arial"/>
          <w:b/>
        </w:rPr>
        <w:t>locums</w:t>
      </w:r>
      <w:r w:rsidRPr="00D71A4F">
        <w:rPr>
          <w:rFonts w:ascii="Arial" w:hAnsi="Arial" w:cs="Arial"/>
        </w:rPr>
        <w:t xml:space="preserve"> it is not yet clear what, if any, impact this will have on those individual health care professionals, but it is possible that as a processor they will be liable for data </w:t>
      </w:r>
      <w:r w:rsidRPr="00D71A4F">
        <w:rPr>
          <w:rFonts w:ascii="Arial" w:hAnsi="Arial" w:cs="Arial"/>
        </w:rPr>
        <w:lastRenderedPageBreak/>
        <w:t xml:space="preserve">breaches.   At this stage locums should ensure they are familiar with the existing data protection policies where they work. </w:t>
      </w:r>
      <w:r w:rsidRPr="00D71A4F">
        <w:rPr>
          <w:rFonts w:ascii="Arial" w:hAnsi="Arial" w:cs="Arial"/>
          <w:i/>
        </w:rPr>
        <w:t xml:space="preserve"> </w:t>
      </w:r>
      <w:r w:rsidRPr="00D71A4F">
        <w:rPr>
          <w:rFonts w:ascii="Arial" w:hAnsi="Arial" w:cs="Arial"/>
        </w:rPr>
        <w:t xml:space="preserve">We will publish further guidance in due course, if necessary. </w:t>
      </w:r>
    </w:p>
    <w:p w14:paraId="39E4E80F" w14:textId="77777777" w:rsidR="004319E4" w:rsidRPr="00D71A4F" w:rsidRDefault="004319E4">
      <w:pPr>
        <w:pStyle w:val="Heading1"/>
        <w:tabs>
          <w:tab w:val="center" w:pos="2821"/>
        </w:tabs>
        <w:ind w:left="-15" w:right="0" w:firstLine="0"/>
        <w:rPr>
          <w:rFonts w:ascii="Arial" w:hAnsi="Arial" w:cs="Arial"/>
        </w:rPr>
      </w:pPr>
      <w:bookmarkStart w:id="8" w:name="_Toc30768820"/>
      <w:r w:rsidRPr="00D71A4F">
        <w:rPr>
          <w:rFonts w:ascii="Arial" w:hAnsi="Arial" w:cs="Arial"/>
        </w:rPr>
        <w:t xml:space="preserve">2.3  </w:t>
      </w:r>
      <w:r w:rsidRPr="00D71A4F">
        <w:rPr>
          <w:rFonts w:ascii="Arial" w:hAnsi="Arial" w:cs="Arial"/>
        </w:rPr>
        <w:tab/>
        <w:t>Demonstrating compliance and accountability</w:t>
      </w:r>
      <w:bookmarkEnd w:id="8"/>
      <w:r w:rsidRPr="00D71A4F">
        <w:rPr>
          <w:rFonts w:ascii="Arial" w:hAnsi="Arial" w:cs="Arial"/>
          <w:b w:val="0"/>
        </w:rPr>
        <w:t xml:space="preserve"> </w:t>
      </w:r>
      <w:r w:rsidRPr="00D71A4F">
        <w:rPr>
          <w:rFonts w:ascii="Arial" w:hAnsi="Arial" w:cs="Arial"/>
        </w:rPr>
        <w:t xml:space="preserve"> </w:t>
      </w:r>
    </w:p>
    <w:p w14:paraId="1DA75A06" w14:textId="77777777" w:rsidR="004319E4" w:rsidRPr="00D71A4F" w:rsidRDefault="004319E4">
      <w:pPr>
        <w:ind w:left="-5" w:right="11"/>
        <w:rPr>
          <w:rFonts w:ascii="Arial" w:hAnsi="Arial" w:cs="Arial"/>
        </w:rPr>
      </w:pPr>
      <w:r w:rsidRPr="00D71A4F">
        <w:rPr>
          <w:rFonts w:ascii="Arial" w:hAnsi="Arial" w:cs="Arial"/>
        </w:rPr>
        <w:t>The fundamental basis for keeping health records has not changed which means that, on a daily basis, optical practices and optical practitioners will continue as now when processing most data.</w:t>
      </w:r>
      <w:r w:rsidRPr="00D71A4F">
        <w:rPr>
          <w:rFonts w:ascii="Arial" w:hAnsi="Arial" w:cs="Arial"/>
          <w:b/>
        </w:rPr>
        <w:t xml:space="preserve"> </w:t>
      </w:r>
      <w:r w:rsidRPr="00D71A4F">
        <w:rPr>
          <w:rFonts w:ascii="Arial" w:hAnsi="Arial" w:cs="Arial"/>
        </w:rPr>
        <w:t xml:space="preserve"> However, the new law increases the emphasis on organisations being able to </w:t>
      </w:r>
      <w:r w:rsidRPr="00D71A4F">
        <w:rPr>
          <w:rFonts w:ascii="Arial" w:hAnsi="Arial" w:cs="Arial"/>
          <w:b/>
        </w:rPr>
        <w:t>demonstrate</w:t>
      </w:r>
      <w:r w:rsidRPr="00D71A4F">
        <w:rPr>
          <w:rFonts w:ascii="Arial" w:hAnsi="Arial" w:cs="Arial"/>
        </w:rPr>
        <w:t xml:space="preserve"> compliance and accountability in the handling and storage of </w:t>
      </w:r>
      <w:r w:rsidRPr="00D71A4F">
        <w:rPr>
          <w:rFonts w:ascii="Arial" w:hAnsi="Arial" w:cs="Arial"/>
          <w:b/>
        </w:rPr>
        <w:t xml:space="preserve">personal data. </w:t>
      </w:r>
      <w:r w:rsidRPr="00D71A4F">
        <w:rPr>
          <w:rFonts w:ascii="Arial" w:hAnsi="Arial" w:cs="Arial"/>
        </w:rPr>
        <w:t xml:space="preserve"> </w:t>
      </w:r>
    </w:p>
    <w:p w14:paraId="3835521A" w14:textId="77777777" w:rsidR="004319E4" w:rsidRPr="00D71A4F" w:rsidRDefault="004319E4">
      <w:pPr>
        <w:spacing w:after="209" w:line="267" w:lineRule="auto"/>
        <w:ind w:left="-5"/>
        <w:rPr>
          <w:rFonts w:ascii="Arial" w:hAnsi="Arial" w:cs="Arial"/>
        </w:rPr>
      </w:pPr>
      <w:r w:rsidRPr="00D71A4F">
        <w:rPr>
          <w:rFonts w:ascii="Arial" w:hAnsi="Arial" w:cs="Arial"/>
          <w:b/>
        </w:rPr>
        <w:t>This means optical practices and optical practitioners must be able to demonstrate compliance and accountability.</w:t>
      </w:r>
      <w:r w:rsidRPr="00D71A4F">
        <w:rPr>
          <w:rFonts w:ascii="Arial" w:hAnsi="Arial" w:cs="Arial"/>
        </w:rPr>
        <w:t xml:space="preserve">  </w:t>
      </w:r>
    </w:p>
    <w:p w14:paraId="709B7294" w14:textId="77777777" w:rsidR="004319E4" w:rsidRPr="00D71A4F" w:rsidRDefault="004319E4">
      <w:pPr>
        <w:ind w:left="-5" w:right="11"/>
        <w:rPr>
          <w:rFonts w:ascii="Arial" w:hAnsi="Arial" w:cs="Arial"/>
        </w:rPr>
      </w:pPr>
      <w:r w:rsidRPr="00D71A4F">
        <w:rPr>
          <w:rFonts w:ascii="Arial" w:hAnsi="Arial" w:cs="Arial"/>
        </w:rPr>
        <w:t xml:space="preserve">The ICO has helpfully clarified that:  </w:t>
      </w:r>
    </w:p>
    <w:p w14:paraId="16878E61" w14:textId="77777777" w:rsidR="004319E4" w:rsidRPr="00D71A4F" w:rsidRDefault="004319E4">
      <w:pPr>
        <w:spacing w:after="202" w:line="274" w:lineRule="auto"/>
        <w:ind w:left="-5"/>
        <w:rPr>
          <w:rFonts w:ascii="Arial" w:hAnsi="Arial" w:cs="Arial"/>
        </w:rPr>
      </w:pPr>
      <w:r w:rsidRPr="00D71A4F">
        <w:rPr>
          <w:rFonts w:ascii="Arial" w:hAnsi="Arial" w:cs="Arial"/>
        </w:rPr>
        <w:t xml:space="preserve">“You are expected to put into place comprehensive </w:t>
      </w:r>
      <w:r w:rsidRPr="00D71A4F">
        <w:rPr>
          <w:rFonts w:ascii="Arial" w:hAnsi="Arial" w:cs="Arial"/>
          <w:b/>
        </w:rPr>
        <w:t>but proportionate</w:t>
      </w:r>
      <w:r w:rsidRPr="00D71A4F">
        <w:rPr>
          <w:rFonts w:ascii="Arial" w:hAnsi="Arial" w:cs="Arial"/>
        </w:rPr>
        <w:t xml:space="preserve"> governance measures” (our emphasis). </w:t>
      </w:r>
    </w:p>
    <w:p w14:paraId="696DE764" w14:textId="77777777" w:rsidR="004319E4" w:rsidRPr="00D71A4F" w:rsidRDefault="004319E4">
      <w:pPr>
        <w:spacing w:after="226"/>
        <w:ind w:left="-5" w:right="11"/>
        <w:rPr>
          <w:rFonts w:ascii="Arial" w:hAnsi="Arial" w:cs="Arial"/>
        </w:rPr>
      </w:pPr>
      <w:r w:rsidRPr="00D71A4F">
        <w:rPr>
          <w:rFonts w:ascii="Arial" w:hAnsi="Arial" w:cs="Arial"/>
        </w:rPr>
        <w:t>All optical businesses</w:t>
      </w:r>
      <w:r w:rsidRPr="00D71A4F">
        <w:rPr>
          <w:rFonts w:ascii="Arial" w:hAnsi="Arial" w:cs="Arial"/>
          <w:vertAlign w:val="superscript"/>
        </w:rPr>
        <w:endnoteReference w:id="3"/>
      </w:r>
      <w:r w:rsidRPr="00D71A4F">
        <w:rPr>
          <w:rFonts w:ascii="Arial" w:hAnsi="Arial" w:cs="Arial"/>
        </w:rPr>
        <w:t xml:space="preserve"> should register and maintain registration as a data controller with the ICO. </w:t>
      </w:r>
    </w:p>
    <w:p w14:paraId="2B5B97C5" w14:textId="469AF614" w:rsidR="001A51C2" w:rsidRPr="00D71A4F" w:rsidRDefault="004319E4" w:rsidP="000A0439">
      <w:pPr>
        <w:ind w:left="-5" w:right="11"/>
        <w:rPr>
          <w:rFonts w:ascii="Arial" w:hAnsi="Arial" w:cs="Arial"/>
        </w:rPr>
      </w:pPr>
      <w:r w:rsidRPr="00D71A4F">
        <w:rPr>
          <w:rFonts w:ascii="Arial" w:hAnsi="Arial" w:cs="Arial"/>
        </w:rPr>
        <w:t xml:space="preserve">You should also maintain a record of processing activities and how you protect this personal data. </w:t>
      </w:r>
    </w:p>
    <w:p w14:paraId="16B733AD" w14:textId="77777777" w:rsidR="000A0439" w:rsidRPr="000A0439" w:rsidRDefault="004319E4" w:rsidP="000A0439">
      <w:pPr>
        <w:pBdr>
          <w:top w:val="single" w:sz="4" w:space="0" w:color="000000"/>
          <w:left w:val="single" w:sz="4" w:space="6" w:color="000000"/>
          <w:bottom w:val="single" w:sz="4" w:space="0" w:color="000000"/>
          <w:right w:val="single" w:sz="4" w:space="15" w:color="000000"/>
        </w:pBdr>
        <w:spacing w:after="0" w:line="259" w:lineRule="auto"/>
        <w:ind w:left="113" w:firstLine="0"/>
        <w:rPr>
          <w:rFonts w:ascii="Arial" w:hAnsi="Arial" w:cs="Arial"/>
          <w:sz w:val="11"/>
          <w:szCs w:val="11"/>
        </w:rPr>
      </w:pPr>
      <w:r w:rsidRPr="00D71A4F">
        <w:rPr>
          <w:rFonts w:ascii="Arial" w:hAnsi="Arial" w:cs="Arial"/>
        </w:rPr>
        <w:t xml:space="preserve"> </w:t>
      </w:r>
    </w:p>
    <w:p w14:paraId="010CC924" w14:textId="30506173" w:rsidR="004319E4" w:rsidRPr="00D71A4F" w:rsidRDefault="004319E4" w:rsidP="000A0439">
      <w:pPr>
        <w:pBdr>
          <w:top w:val="single" w:sz="4" w:space="0" w:color="000000"/>
          <w:left w:val="single" w:sz="4" w:space="6" w:color="000000"/>
          <w:bottom w:val="single" w:sz="4" w:space="0" w:color="000000"/>
          <w:right w:val="single" w:sz="4" w:space="15" w:color="000000"/>
        </w:pBdr>
        <w:spacing w:after="0" w:line="259" w:lineRule="auto"/>
        <w:ind w:left="113" w:firstLine="0"/>
        <w:rPr>
          <w:rFonts w:ascii="Arial" w:hAnsi="Arial" w:cs="Arial"/>
        </w:rPr>
      </w:pPr>
      <w:r w:rsidRPr="00D71A4F">
        <w:rPr>
          <w:rFonts w:ascii="Arial" w:hAnsi="Arial" w:cs="Arial"/>
        </w:rPr>
        <w:t xml:space="preserve">Keep a record of all your processing activities. The record should include:  </w:t>
      </w:r>
    </w:p>
    <w:p w14:paraId="628D28F1" w14:textId="77777777" w:rsidR="004319E4" w:rsidRPr="000A0439" w:rsidRDefault="004319E4" w:rsidP="000A0439">
      <w:pPr>
        <w:pBdr>
          <w:top w:val="single" w:sz="4" w:space="0" w:color="000000"/>
          <w:left w:val="single" w:sz="4" w:space="6" w:color="000000"/>
          <w:bottom w:val="single" w:sz="4" w:space="0" w:color="000000"/>
          <w:right w:val="single" w:sz="4" w:space="15" w:color="000000"/>
        </w:pBdr>
        <w:spacing w:after="12" w:line="259" w:lineRule="auto"/>
        <w:ind w:left="113" w:firstLine="0"/>
        <w:rPr>
          <w:rFonts w:ascii="Arial" w:hAnsi="Arial" w:cs="Arial"/>
          <w:sz w:val="20"/>
          <w:szCs w:val="20"/>
        </w:rPr>
      </w:pPr>
      <w:r w:rsidRPr="00D71A4F">
        <w:rPr>
          <w:rFonts w:ascii="Arial" w:hAnsi="Arial" w:cs="Arial"/>
        </w:rPr>
        <w:t xml:space="preserve"> </w:t>
      </w:r>
    </w:p>
    <w:p w14:paraId="5C688E9A" w14:textId="77777777" w:rsidR="004319E4" w:rsidRPr="00D71A4F" w:rsidRDefault="004319E4" w:rsidP="000A0439">
      <w:pPr>
        <w:numPr>
          <w:ilvl w:val="0"/>
          <w:numId w:val="9"/>
        </w:numPr>
        <w:pBdr>
          <w:top w:val="single" w:sz="4" w:space="0" w:color="000000"/>
          <w:left w:val="single" w:sz="4" w:space="6" w:color="000000"/>
          <w:bottom w:val="single" w:sz="4" w:space="0" w:color="000000"/>
          <w:right w:val="single" w:sz="4" w:space="15" w:color="000000"/>
        </w:pBdr>
        <w:spacing w:after="5" w:line="249" w:lineRule="auto"/>
        <w:ind w:hanging="360"/>
        <w:rPr>
          <w:rFonts w:ascii="Arial" w:hAnsi="Arial" w:cs="Arial"/>
        </w:rPr>
      </w:pPr>
      <w:r w:rsidRPr="00D71A4F">
        <w:rPr>
          <w:rFonts w:ascii="Arial" w:hAnsi="Arial" w:cs="Arial"/>
        </w:rPr>
        <w:t xml:space="preserve">name and contact details of the person responsible for protecting personal data/DPO </w:t>
      </w:r>
    </w:p>
    <w:p w14:paraId="32338236" w14:textId="77777777" w:rsidR="004319E4" w:rsidRPr="00D71A4F" w:rsidRDefault="004319E4" w:rsidP="000A0439">
      <w:pPr>
        <w:pBdr>
          <w:top w:val="single" w:sz="4" w:space="0" w:color="000000"/>
          <w:left w:val="single" w:sz="4" w:space="6" w:color="000000"/>
          <w:bottom w:val="single" w:sz="4" w:space="0" w:color="000000"/>
          <w:right w:val="single" w:sz="4" w:space="15" w:color="000000"/>
        </w:pBdr>
        <w:spacing w:after="12" w:line="259" w:lineRule="auto"/>
        <w:ind w:left="113" w:firstLine="0"/>
        <w:rPr>
          <w:rFonts w:ascii="Arial" w:hAnsi="Arial" w:cs="Arial"/>
        </w:rPr>
      </w:pPr>
      <w:r w:rsidRPr="00D71A4F">
        <w:rPr>
          <w:rFonts w:ascii="Arial" w:hAnsi="Arial" w:cs="Arial"/>
        </w:rPr>
        <w:t xml:space="preserve"> </w:t>
      </w:r>
    </w:p>
    <w:p w14:paraId="7D172A67" w14:textId="77777777" w:rsidR="004319E4" w:rsidRPr="00D71A4F" w:rsidRDefault="004319E4" w:rsidP="000A0439">
      <w:pPr>
        <w:numPr>
          <w:ilvl w:val="0"/>
          <w:numId w:val="9"/>
        </w:numPr>
        <w:pBdr>
          <w:top w:val="single" w:sz="4" w:space="0" w:color="000000"/>
          <w:left w:val="single" w:sz="4" w:space="6" w:color="000000"/>
          <w:bottom w:val="single" w:sz="4" w:space="0" w:color="000000"/>
          <w:right w:val="single" w:sz="4" w:space="15" w:color="000000"/>
        </w:pBdr>
        <w:spacing w:after="5" w:line="249" w:lineRule="auto"/>
        <w:ind w:hanging="360"/>
        <w:rPr>
          <w:rFonts w:ascii="Arial" w:hAnsi="Arial" w:cs="Arial"/>
        </w:rPr>
      </w:pPr>
      <w:r w:rsidRPr="00D71A4F">
        <w:rPr>
          <w:rFonts w:ascii="Arial" w:hAnsi="Arial" w:cs="Arial"/>
        </w:rPr>
        <w:t xml:space="preserve">a list of all the categories of personal data you hold - e.g. patient records, staff records, customer details etc. – and the purposes for which you use that data. The list should include all personal data held in both paper and electronic formats. Remember you only have to do this for personal data </w:t>
      </w:r>
    </w:p>
    <w:p w14:paraId="7CC2BAFC" w14:textId="77777777" w:rsidR="004319E4" w:rsidRPr="00D71A4F" w:rsidRDefault="004319E4" w:rsidP="000A0439">
      <w:pPr>
        <w:pBdr>
          <w:top w:val="single" w:sz="4" w:space="0" w:color="000000"/>
          <w:left w:val="single" w:sz="4" w:space="6" w:color="000000"/>
          <w:bottom w:val="single" w:sz="4" w:space="0" w:color="000000"/>
          <w:right w:val="single" w:sz="4" w:space="15" w:color="000000"/>
        </w:pBdr>
        <w:spacing w:after="12" w:line="259" w:lineRule="auto"/>
        <w:ind w:left="113" w:firstLine="0"/>
        <w:rPr>
          <w:rFonts w:ascii="Arial" w:hAnsi="Arial" w:cs="Arial"/>
        </w:rPr>
      </w:pPr>
      <w:r w:rsidRPr="00D71A4F">
        <w:rPr>
          <w:rFonts w:ascii="Arial" w:hAnsi="Arial" w:cs="Arial"/>
        </w:rPr>
        <w:t xml:space="preserve"> </w:t>
      </w:r>
    </w:p>
    <w:p w14:paraId="558C4244" w14:textId="77777777" w:rsidR="004319E4" w:rsidRPr="00D71A4F" w:rsidRDefault="004319E4" w:rsidP="000A0439">
      <w:pPr>
        <w:numPr>
          <w:ilvl w:val="0"/>
          <w:numId w:val="9"/>
        </w:numPr>
        <w:pBdr>
          <w:top w:val="single" w:sz="4" w:space="0" w:color="000000"/>
          <w:left w:val="single" w:sz="4" w:space="6" w:color="000000"/>
          <w:bottom w:val="single" w:sz="4" w:space="0" w:color="000000"/>
          <w:right w:val="single" w:sz="4" w:space="15" w:color="000000"/>
        </w:pBdr>
        <w:spacing w:after="5" w:line="249" w:lineRule="auto"/>
        <w:ind w:hanging="360"/>
        <w:rPr>
          <w:rFonts w:ascii="Arial" w:hAnsi="Arial" w:cs="Arial"/>
        </w:rPr>
      </w:pPr>
      <w:r w:rsidRPr="00D71A4F">
        <w:rPr>
          <w:rFonts w:ascii="Arial" w:hAnsi="Arial" w:cs="Arial"/>
        </w:rPr>
        <w:t xml:space="preserve">the lawful basis on which you process personal data –  it is important to understand (and be able to explain) the lawful basis you use to process personal data. Record the lawful basis for holding each category of personal data. See section 2.4 and Annex B for more information </w:t>
      </w:r>
    </w:p>
    <w:p w14:paraId="00D71A20" w14:textId="77777777" w:rsidR="004319E4" w:rsidRPr="00D71A4F" w:rsidRDefault="004319E4" w:rsidP="000A0439">
      <w:pPr>
        <w:pBdr>
          <w:top w:val="single" w:sz="4" w:space="0" w:color="000000"/>
          <w:left w:val="single" w:sz="4" w:space="6" w:color="000000"/>
          <w:bottom w:val="single" w:sz="4" w:space="0" w:color="000000"/>
          <w:right w:val="single" w:sz="4" w:space="15" w:color="000000"/>
        </w:pBdr>
        <w:spacing w:after="12" w:line="259" w:lineRule="auto"/>
        <w:ind w:left="113" w:firstLine="0"/>
        <w:rPr>
          <w:rFonts w:ascii="Arial" w:hAnsi="Arial" w:cs="Arial"/>
        </w:rPr>
      </w:pPr>
      <w:r w:rsidRPr="00D71A4F">
        <w:rPr>
          <w:rFonts w:ascii="Arial" w:hAnsi="Arial" w:cs="Arial"/>
        </w:rPr>
        <w:t xml:space="preserve"> </w:t>
      </w:r>
    </w:p>
    <w:p w14:paraId="5711F4EC" w14:textId="77777777" w:rsidR="004319E4" w:rsidRPr="00D71A4F" w:rsidRDefault="004319E4" w:rsidP="000A0439">
      <w:pPr>
        <w:numPr>
          <w:ilvl w:val="0"/>
          <w:numId w:val="9"/>
        </w:numPr>
        <w:pBdr>
          <w:top w:val="single" w:sz="4" w:space="0" w:color="000000"/>
          <w:left w:val="single" w:sz="4" w:space="6" w:color="000000"/>
          <w:bottom w:val="single" w:sz="4" w:space="0" w:color="000000"/>
          <w:right w:val="single" w:sz="4" w:space="15" w:color="000000"/>
        </w:pBdr>
        <w:spacing w:after="5" w:line="249" w:lineRule="auto"/>
        <w:ind w:hanging="360"/>
        <w:rPr>
          <w:rFonts w:ascii="Arial" w:hAnsi="Arial" w:cs="Arial"/>
        </w:rPr>
      </w:pPr>
      <w:r w:rsidRPr="00D71A4F">
        <w:rPr>
          <w:rFonts w:ascii="Arial" w:hAnsi="Arial" w:cs="Arial"/>
        </w:rPr>
        <w:t xml:space="preserve">where possible, include the time limits for erasure of the different categories of personal data you hold </w:t>
      </w:r>
    </w:p>
    <w:p w14:paraId="66EDDD85" w14:textId="77777777" w:rsidR="004319E4" w:rsidRPr="00D71A4F" w:rsidRDefault="004319E4" w:rsidP="000A0439">
      <w:pPr>
        <w:pBdr>
          <w:top w:val="single" w:sz="4" w:space="0" w:color="000000"/>
          <w:left w:val="single" w:sz="4" w:space="6" w:color="000000"/>
          <w:bottom w:val="single" w:sz="4" w:space="0" w:color="000000"/>
          <w:right w:val="single" w:sz="4" w:space="15" w:color="000000"/>
        </w:pBdr>
        <w:spacing w:after="12" w:line="259" w:lineRule="auto"/>
        <w:ind w:left="113" w:firstLine="0"/>
        <w:rPr>
          <w:rFonts w:ascii="Arial" w:hAnsi="Arial" w:cs="Arial"/>
        </w:rPr>
      </w:pPr>
      <w:r w:rsidRPr="00D71A4F">
        <w:rPr>
          <w:rFonts w:ascii="Arial" w:hAnsi="Arial" w:cs="Arial"/>
        </w:rPr>
        <w:t xml:space="preserve"> </w:t>
      </w:r>
    </w:p>
    <w:p w14:paraId="4E58302D" w14:textId="77777777" w:rsidR="004319E4" w:rsidRPr="00D71A4F" w:rsidRDefault="004319E4" w:rsidP="000A0439">
      <w:pPr>
        <w:numPr>
          <w:ilvl w:val="0"/>
          <w:numId w:val="9"/>
        </w:numPr>
        <w:pBdr>
          <w:top w:val="single" w:sz="4" w:space="0" w:color="000000"/>
          <w:left w:val="single" w:sz="4" w:space="6" w:color="000000"/>
          <w:bottom w:val="single" w:sz="4" w:space="0" w:color="000000"/>
          <w:right w:val="single" w:sz="4" w:space="15" w:color="000000"/>
        </w:pBdr>
        <w:spacing w:after="5" w:line="249" w:lineRule="auto"/>
        <w:ind w:hanging="360"/>
        <w:rPr>
          <w:rFonts w:ascii="Arial" w:hAnsi="Arial" w:cs="Arial"/>
        </w:rPr>
      </w:pPr>
      <w:r w:rsidRPr="00D71A4F">
        <w:rPr>
          <w:rFonts w:ascii="Arial" w:hAnsi="Arial" w:cs="Arial"/>
        </w:rPr>
        <w:t xml:space="preserve">where possible, include a general description of your technical and security measures – e.g. how you ensure ongoing confidentiality, integrity, availability and resilience of systems and services; how you would restore personal data in a timely manner in the event of a physical or technical incident; whether and now you test, assess and evaluate the effectiveness of technical and organisational security measures.  </w:t>
      </w:r>
    </w:p>
    <w:p w14:paraId="283D07AA" w14:textId="77777777" w:rsidR="004319E4" w:rsidRPr="00D71A4F" w:rsidRDefault="004319E4" w:rsidP="000A0439">
      <w:pPr>
        <w:pBdr>
          <w:top w:val="single" w:sz="4" w:space="0" w:color="000000"/>
          <w:left w:val="single" w:sz="4" w:space="6" w:color="000000"/>
          <w:bottom w:val="single" w:sz="4" w:space="0" w:color="000000"/>
          <w:right w:val="single" w:sz="4" w:space="15" w:color="000000"/>
        </w:pBdr>
        <w:spacing w:after="0" w:line="259" w:lineRule="auto"/>
        <w:ind w:left="113" w:firstLine="0"/>
        <w:rPr>
          <w:rFonts w:ascii="Arial" w:hAnsi="Arial" w:cs="Arial"/>
        </w:rPr>
      </w:pPr>
      <w:r w:rsidRPr="00D71A4F">
        <w:rPr>
          <w:rFonts w:ascii="Arial" w:hAnsi="Arial" w:cs="Arial"/>
        </w:rPr>
        <w:t xml:space="preserve"> </w:t>
      </w:r>
    </w:p>
    <w:p w14:paraId="3274F4BD" w14:textId="27B9FBA6" w:rsidR="007659AD" w:rsidRPr="00D71A4F" w:rsidRDefault="004319E4" w:rsidP="000A0439">
      <w:pPr>
        <w:pBdr>
          <w:top w:val="single" w:sz="4" w:space="0" w:color="000000"/>
          <w:left w:val="single" w:sz="4" w:space="6" w:color="000000"/>
          <w:bottom w:val="single" w:sz="4" w:space="0" w:color="000000"/>
          <w:right w:val="single" w:sz="4" w:space="15" w:color="000000"/>
        </w:pBdr>
        <w:spacing w:after="0" w:line="259" w:lineRule="auto"/>
        <w:ind w:left="113" w:firstLine="0"/>
        <w:rPr>
          <w:rFonts w:ascii="Arial" w:hAnsi="Arial" w:cs="Arial"/>
        </w:rPr>
      </w:pPr>
      <w:r w:rsidRPr="00D71A4F">
        <w:rPr>
          <w:rFonts w:ascii="Arial" w:hAnsi="Arial" w:cs="Arial"/>
          <w:b/>
        </w:rPr>
        <w:t xml:space="preserve">See Annex A for an example of what such a record might look like.  </w:t>
      </w:r>
    </w:p>
    <w:p w14:paraId="363DB31F" w14:textId="7ABCA78E" w:rsidR="004319E4" w:rsidRPr="00D71A4F" w:rsidRDefault="004319E4">
      <w:pPr>
        <w:ind w:left="-5" w:right="11"/>
        <w:rPr>
          <w:rFonts w:ascii="Arial" w:hAnsi="Arial" w:cs="Arial"/>
        </w:rPr>
      </w:pPr>
      <w:r w:rsidRPr="00D71A4F">
        <w:rPr>
          <w:rFonts w:ascii="Arial" w:hAnsi="Arial" w:cs="Arial"/>
        </w:rPr>
        <w:lastRenderedPageBreak/>
        <w:t xml:space="preserve">Some, </w:t>
      </w:r>
      <w:r w:rsidRPr="00D71A4F">
        <w:rPr>
          <w:rFonts w:ascii="Arial" w:hAnsi="Arial" w:cs="Arial"/>
          <w:b/>
        </w:rPr>
        <w:t xml:space="preserve">but not all, </w:t>
      </w:r>
      <w:r w:rsidRPr="00D71A4F">
        <w:rPr>
          <w:rFonts w:ascii="Arial" w:hAnsi="Arial" w:cs="Arial"/>
        </w:rPr>
        <w:t xml:space="preserve">data controllers will have to perform a </w:t>
      </w:r>
      <w:r w:rsidRPr="00D71A4F">
        <w:rPr>
          <w:rFonts w:ascii="Arial" w:hAnsi="Arial" w:cs="Arial"/>
          <w:b/>
        </w:rPr>
        <w:t>Data Protection Impact Assessment</w:t>
      </w:r>
      <w:r w:rsidRPr="00D71A4F">
        <w:rPr>
          <w:rFonts w:ascii="Arial" w:hAnsi="Arial" w:cs="Arial"/>
        </w:rPr>
        <w:t xml:space="preserve"> (DPIA). You must carry out a DPIA if you are processing data that is likely to result in a high risk to individuals or if you intend to undertake any major project which requires the processing of personal data. A DPIA is therefore unlikely to be needed for an optical practice carrying out its normal activities. However, you may want to carry one out, for example, if you were changing your practice management software systems. Again, it is important to note that a DPIA, like all other aspects of data protection, should be proportionate to the type of data being processed and the likely risks. </w:t>
      </w:r>
    </w:p>
    <w:p w14:paraId="780D6A4D" w14:textId="77777777" w:rsidR="004319E4" w:rsidRPr="00D71A4F" w:rsidRDefault="004319E4">
      <w:pPr>
        <w:ind w:left="-5" w:right="11"/>
        <w:rPr>
          <w:rFonts w:ascii="Arial" w:hAnsi="Arial" w:cs="Arial"/>
        </w:rPr>
      </w:pPr>
      <w:r w:rsidRPr="00D71A4F">
        <w:rPr>
          <w:rFonts w:ascii="Arial" w:hAnsi="Arial" w:cs="Arial"/>
        </w:rPr>
        <w:t xml:space="preserve">Under the new rules you are encouraged to “meet the principles of </w:t>
      </w:r>
      <w:r w:rsidRPr="00D71A4F">
        <w:rPr>
          <w:rFonts w:ascii="Arial" w:hAnsi="Arial" w:cs="Arial"/>
          <w:b/>
        </w:rPr>
        <w:t>data protection by design</w:t>
      </w:r>
      <w:r w:rsidRPr="00D71A4F">
        <w:rPr>
          <w:rFonts w:ascii="Arial" w:hAnsi="Arial" w:cs="Arial"/>
        </w:rPr>
        <w:t xml:space="preserve"> and data protection by default”. The ICO has stated that it expects organisations to put in place comprehensive but proportionate governance measures. This means that small companies will not be expected to invest large sums in state-of-the-art defence systems. </w:t>
      </w:r>
    </w:p>
    <w:p w14:paraId="35B3F519" w14:textId="77777777" w:rsidR="004319E4" w:rsidRPr="00D71A4F" w:rsidRDefault="004319E4">
      <w:pPr>
        <w:ind w:left="-5" w:right="11"/>
        <w:rPr>
          <w:rFonts w:ascii="Arial" w:hAnsi="Arial" w:cs="Arial"/>
        </w:rPr>
      </w:pPr>
      <w:r w:rsidRPr="00D71A4F">
        <w:rPr>
          <w:rFonts w:ascii="Arial" w:hAnsi="Arial" w:cs="Arial"/>
        </w:rPr>
        <w:t xml:space="preserve">Although the new law only applies to personal data and not any other information you hold, protecting all the information you hold is likely to help you comply with the new law – e.g. if you use computers to store personal data then ensuring software is up-to-date and supported, anti-virus software is correctly installed and current and accounts protected with robust passwords etc. will help safeguard any personal data held on the same network.  </w:t>
      </w:r>
    </w:p>
    <w:p w14:paraId="53CE93ED" w14:textId="77777777" w:rsidR="004319E4" w:rsidRPr="00D71A4F" w:rsidRDefault="004319E4">
      <w:pPr>
        <w:pStyle w:val="Heading1"/>
        <w:tabs>
          <w:tab w:val="center" w:pos="3273"/>
        </w:tabs>
        <w:ind w:left="-15" w:right="0" w:firstLine="0"/>
        <w:rPr>
          <w:rFonts w:ascii="Arial" w:hAnsi="Arial" w:cs="Arial"/>
        </w:rPr>
      </w:pPr>
      <w:bookmarkStart w:id="9" w:name="_Toc30768821"/>
      <w:r w:rsidRPr="00D71A4F">
        <w:rPr>
          <w:rFonts w:ascii="Arial" w:hAnsi="Arial" w:cs="Arial"/>
        </w:rPr>
        <w:t xml:space="preserve">2.4  </w:t>
      </w:r>
      <w:r w:rsidRPr="00D71A4F">
        <w:rPr>
          <w:rFonts w:ascii="Arial" w:hAnsi="Arial" w:cs="Arial"/>
        </w:rPr>
        <w:tab/>
        <w:t>Identifying the lawful basis for processing personal data</w:t>
      </w:r>
      <w:bookmarkEnd w:id="9"/>
      <w:r w:rsidRPr="00D71A4F">
        <w:rPr>
          <w:rFonts w:ascii="Arial" w:hAnsi="Arial" w:cs="Arial"/>
        </w:rPr>
        <w:t xml:space="preserve">   </w:t>
      </w:r>
    </w:p>
    <w:p w14:paraId="370DCEC1" w14:textId="77777777" w:rsidR="004319E4" w:rsidRPr="00D71A4F" w:rsidRDefault="004319E4">
      <w:pPr>
        <w:ind w:left="-5" w:right="11"/>
        <w:rPr>
          <w:rFonts w:ascii="Arial" w:hAnsi="Arial" w:cs="Arial"/>
        </w:rPr>
      </w:pPr>
      <w:r w:rsidRPr="00D71A4F">
        <w:rPr>
          <w:rFonts w:ascii="Arial" w:hAnsi="Arial" w:cs="Arial"/>
        </w:rPr>
        <w:t xml:space="preserve">Once you have identified all of the personal data you hold (or intend to hold) and the purposes for which you intend to use it, you </w:t>
      </w:r>
      <w:r w:rsidRPr="00D71A4F">
        <w:rPr>
          <w:rFonts w:ascii="Arial" w:hAnsi="Arial" w:cs="Arial"/>
          <w:b/>
          <w:u w:val="single" w:color="000000"/>
        </w:rPr>
        <w:t>must</w:t>
      </w:r>
      <w:r w:rsidRPr="00D71A4F">
        <w:rPr>
          <w:rFonts w:ascii="Arial" w:hAnsi="Arial" w:cs="Arial"/>
        </w:rPr>
        <w:t xml:space="preserve"> identify at least one lawful basis for </w:t>
      </w:r>
      <w:r w:rsidRPr="00D71A4F">
        <w:rPr>
          <w:rFonts w:ascii="Arial" w:hAnsi="Arial" w:cs="Arial"/>
          <w:b/>
          <w:u w:val="single" w:color="000000"/>
        </w:rPr>
        <w:t>each</w:t>
      </w:r>
      <w:r w:rsidRPr="00D71A4F">
        <w:rPr>
          <w:rFonts w:ascii="Arial" w:hAnsi="Arial" w:cs="Arial"/>
        </w:rPr>
        <w:t xml:space="preserve"> category of personal data and the purposes for which you intend to use it before you begin processing. You should document each lawful basis and include this in your privacy notice. It is important to get this right from the outset, because it can affect the rights of the people whose data you are processing, and if you decide to change the legal basis you use at a later date you will need to be able to justify the change. (See 2.6 Understanding and complying with individual rights) </w:t>
      </w:r>
    </w:p>
    <w:p w14:paraId="27C18BEB" w14:textId="77777777" w:rsidR="004319E4" w:rsidRPr="00D71A4F" w:rsidRDefault="004319E4">
      <w:pPr>
        <w:spacing w:after="250"/>
        <w:ind w:left="-5" w:right="11"/>
        <w:rPr>
          <w:rFonts w:ascii="Arial" w:hAnsi="Arial" w:cs="Arial"/>
        </w:rPr>
      </w:pPr>
      <w:r w:rsidRPr="00D71A4F">
        <w:rPr>
          <w:rFonts w:ascii="Arial" w:hAnsi="Arial" w:cs="Arial"/>
        </w:rPr>
        <w:t xml:space="preserve">The lawful bases you opt for will depend on the type of personal data you are processing and the reasons for processing. However there are two key points to note: </w:t>
      </w:r>
    </w:p>
    <w:p w14:paraId="47218CFD" w14:textId="77777777" w:rsidR="004319E4" w:rsidRPr="00D71A4F" w:rsidRDefault="004319E4" w:rsidP="007659AD">
      <w:pPr>
        <w:pStyle w:val="ListParagraph"/>
        <w:numPr>
          <w:ilvl w:val="0"/>
          <w:numId w:val="30"/>
        </w:numPr>
        <w:spacing w:after="49"/>
        <w:ind w:right="11"/>
        <w:rPr>
          <w:rFonts w:ascii="Arial" w:hAnsi="Arial" w:cs="Arial"/>
        </w:rPr>
      </w:pPr>
      <w:r w:rsidRPr="00D71A4F">
        <w:rPr>
          <w:rFonts w:ascii="Arial" w:hAnsi="Arial" w:cs="Arial"/>
          <w:b/>
        </w:rPr>
        <w:t>Health</w:t>
      </w:r>
      <w:r w:rsidRPr="00D71A4F">
        <w:rPr>
          <w:rFonts w:ascii="Arial" w:hAnsi="Arial" w:cs="Arial"/>
        </w:rPr>
        <w:t xml:space="preserve"> </w:t>
      </w:r>
      <w:r w:rsidRPr="00D71A4F">
        <w:rPr>
          <w:rFonts w:ascii="Arial" w:hAnsi="Arial" w:cs="Arial"/>
          <w:b/>
        </w:rPr>
        <w:t>data</w:t>
      </w:r>
      <w:r w:rsidRPr="00D71A4F">
        <w:rPr>
          <w:rFonts w:ascii="Arial" w:hAnsi="Arial" w:cs="Arial"/>
        </w:rPr>
        <w:t xml:space="preserve"> is a special category of data, so you need to identify both a lawful basis for general processing of the data, and a condition for processing special category data. As an optical business your condition for special category processing will usually be ‘the provision of health or social care’. </w:t>
      </w:r>
    </w:p>
    <w:p w14:paraId="6D2A9ED9" w14:textId="77777777" w:rsidR="004319E4" w:rsidRPr="00D71A4F" w:rsidRDefault="004319E4" w:rsidP="007659AD">
      <w:pPr>
        <w:pStyle w:val="ListParagraph"/>
        <w:numPr>
          <w:ilvl w:val="0"/>
          <w:numId w:val="30"/>
        </w:numPr>
        <w:ind w:right="11"/>
        <w:rPr>
          <w:rFonts w:ascii="Arial" w:hAnsi="Arial" w:cs="Arial"/>
        </w:rPr>
      </w:pPr>
      <w:r w:rsidRPr="00D71A4F">
        <w:rPr>
          <w:rFonts w:ascii="Arial" w:hAnsi="Arial" w:cs="Arial"/>
          <w:b/>
        </w:rPr>
        <w:t>Consent</w:t>
      </w:r>
      <w:r w:rsidRPr="00D71A4F">
        <w:rPr>
          <w:rFonts w:ascii="Arial" w:hAnsi="Arial" w:cs="Arial"/>
        </w:rPr>
        <w:t xml:space="preserve"> should </w:t>
      </w:r>
      <w:r w:rsidRPr="00D71A4F">
        <w:rPr>
          <w:rFonts w:ascii="Arial" w:hAnsi="Arial" w:cs="Arial"/>
          <w:b/>
        </w:rPr>
        <w:t>NOT</w:t>
      </w:r>
      <w:r w:rsidRPr="00D71A4F">
        <w:rPr>
          <w:rFonts w:ascii="Arial" w:hAnsi="Arial" w:cs="Arial"/>
        </w:rPr>
        <w:t xml:space="preserve"> be used as the lawful basis for processing health care records or staff records.  This is because there are more appropriate and simpler lawful bases for processing these types of data (see below and Annexes A and B).  You do not need to ask patients if you can process their data for healthcare reasons. If you are seeking consent for data processing, for instance in order to send marketing material to patients, it is important to note that this consent is separate from the patient consent you need to provide health services to a patient. </w:t>
      </w:r>
    </w:p>
    <w:p w14:paraId="171CDBFA" w14:textId="77777777" w:rsidR="004319E4" w:rsidRPr="00D71A4F" w:rsidRDefault="004319E4">
      <w:pPr>
        <w:ind w:left="-5" w:right="11"/>
        <w:rPr>
          <w:rFonts w:ascii="Arial" w:hAnsi="Arial" w:cs="Arial"/>
        </w:rPr>
      </w:pPr>
      <w:r w:rsidRPr="00D71A4F">
        <w:rPr>
          <w:rFonts w:ascii="Arial" w:hAnsi="Arial" w:cs="Arial"/>
        </w:rPr>
        <w:t xml:space="preserve">We have provided key points in relation to patient, customer and employee data below. We have also included examples in </w:t>
      </w:r>
      <w:r w:rsidRPr="00D71A4F">
        <w:rPr>
          <w:rFonts w:ascii="Arial" w:hAnsi="Arial" w:cs="Arial"/>
          <w:b/>
        </w:rPr>
        <w:t>Annex A</w:t>
      </w:r>
      <w:r w:rsidRPr="00D71A4F">
        <w:rPr>
          <w:rFonts w:ascii="Arial" w:hAnsi="Arial" w:cs="Arial"/>
        </w:rPr>
        <w:t xml:space="preserve"> to demonstrate what lawful bases you may use. And </w:t>
      </w:r>
      <w:r w:rsidRPr="00D71A4F">
        <w:rPr>
          <w:rFonts w:ascii="Arial" w:hAnsi="Arial" w:cs="Arial"/>
        </w:rPr>
        <w:lastRenderedPageBreak/>
        <w:t xml:space="preserve">we have provided a full list of lawful bases, with examples, in </w:t>
      </w:r>
      <w:r w:rsidRPr="00D71A4F">
        <w:rPr>
          <w:rFonts w:ascii="Arial" w:hAnsi="Arial" w:cs="Arial"/>
          <w:b/>
        </w:rPr>
        <w:t>Annex B</w:t>
      </w:r>
      <w:r w:rsidRPr="00D71A4F">
        <w:rPr>
          <w:rFonts w:ascii="Arial" w:hAnsi="Arial" w:cs="Arial"/>
        </w:rPr>
        <w:t xml:space="preserve"> t</w:t>
      </w:r>
      <w:r w:rsidRPr="00D71A4F">
        <w:rPr>
          <w:rFonts w:ascii="Arial" w:hAnsi="Arial" w:cs="Arial"/>
          <w:b/>
        </w:rPr>
        <w:t xml:space="preserve">o </w:t>
      </w:r>
      <w:r w:rsidRPr="00D71A4F">
        <w:rPr>
          <w:rFonts w:ascii="Arial" w:hAnsi="Arial" w:cs="Arial"/>
        </w:rPr>
        <w:t>help you work through for all the personal data you hold the appropriate lawful basis for processing it. Your representative body may be able to provide further advice and resources.</w:t>
      </w:r>
      <w:r w:rsidRPr="00D71A4F">
        <w:rPr>
          <w:rFonts w:ascii="Arial" w:hAnsi="Arial" w:cs="Arial"/>
          <w:b/>
        </w:rPr>
        <w:t xml:space="preserve"> </w:t>
      </w:r>
    </w:p>
    <w:p w14:paraId="492FC416" w14:textId="77777777" w:rsidR="004319E4" w:rsidRPr="00D71A4F" w:rsidRDefault="004319E4">
      <w:pPr>
        <w:ind w:left="-5" w:right="11"/>
        <w:rPr>
          <w:rFonts w:ascii="Arial" w:hAnsi="Arial" w:cs="Arial"/>
        </w:rPr>
      </w:pPr>
      <w:r w:rsidRPr="00D71A4F">
        <w:rPr>
          <w:rFonts w:ascii="Arial" w:hAnsi="Arial" w:cs="Arial"/>
        </w:rPr>
        <w:t xml:space="preserve">It is also important to note that the rights of the data subject will depend on the lawful basis you use for processing personal data, see </w:t>
      </w:r>
      <w:r w:rsidRPr="00D71A4F">
        <w:rPr>
          <w:rFonts w:ascii="Arial" w:hAnsi="Arial" w:cs="Arial"/>
          <w:b/>
        </w:rPr>
        <w:t xml:space="preserve">Annex C </w:t>
      </w:r>
      <w:r w:rsidRPr="00D71A4F">
        <w:rPr>
          <w:rFonts w:ascii="Arial" w:hAnsi="Arial" w:cs="Arial"/>
        </w:rPr>
        <w:t xml:space="preserve">for more details and the </w:t>
      </w:r>
      <w:hyperlink r:id="rId15">
        <w:r w:rsidRPr="00D71A4F">
          <w:rPr>
            <w:rFonts w:ascii="Arial" w:hAnsi="Arial" w:cs="Arial"/>
            <w:color w:val="0000FF"/>
            <w:u w:val="single" w:color="0000FF"/>
          </w:rPr>
          <w:t>ICO guidance on rights</w:t>
        </w:r>
      </w:hyperlink>
      <w:hyperlink r:id="rId16">
        <w:r w:rsidRPr="00D71A4F">
          <w:rPr>
            <w:rFonts w:ascii="Arial" w:hAnsi="Arial" w:cs="Arial"/>
          </w:rPr>
          <w:t>.</w:t>
        </w:r>
      </w:hyperlink>
      <w:r w:rsidRPr="00D71A4F">
        <w:rPr>
          <w:rFonts w:ascii="Arial" w:hAnsi="Arial" w:cs="Arial"/>
        </w:rPr>
        <w:t xml:space="preserve"> </w:t>
      </w:r>
    </w:p>
    <w:p w14:paraId="488257A8" w14:textId="77777777" w:rsidR="004319E4" w:rsidRPr="00D71A4F" w:rsidRDefault="004319E4">
      <w:pPr>
        <w:pStyle w:val="Heading1"/>
        <w:ind w:left="-5" w:right="0"/>
        <w:rPr>
          <w:rFonts w:ascii="Arial" w:hAnsi="Arial" w:cs="Arial"/>
        </w:rPr>
      </w:pPr>
      <w:bookmarkStart w:id="10" w:name="_Toc30768822"/>
      <w:r w:rsidRPr="00D71A4F">
        <w:rPr>
          <w:rFonts w:ascii="Arial" w:hAnsi="Arial" w:cs="Arial"/>
        </w:rPr>
        <w:t>Patient data</w:t>
      </w:r>
      <w:bookmarkEnd w:id="10"/>
      <w:r w:rsidRPr="00D71A4F">
        <w:rPr>
          <w:rFonts w:ascii="Arial" w:hAnsi="Arial" w:cs="Arial"/>
        </w:rPr>
        <w:t xml:space="preserve"> </w:t>
      </w:r>
    </w:p>
    <w:p w14:paraId="4B69B5CD" w14:textId="77777777" w:rsidR="004319E4" w:rsidRPr="00D71A4F" w:rsidRDefault="004319E4">
      <w:pPr>
        <w:spacing w:after="237"/>
        <w:ind w:left="-5" w:right="11"/>
        <w:rPr>
          <w:rFonts w:ascii="Arial" w:hAnsi="Arial" w:cs="Arial"/>
        </w:rPr>
      </w:pPr>
      <w:r w:rsidRPr="00D71A4F">
        <w:rPr>
          <w:rFonts w:ascii="Arial" w:hAnsi="Arial" w:cs="Arial"/>
        </w:rPr>
        <w:t xml:space="preserve">For the purposes of processing special category (i.e. health) data for privately funded patients, or for primary eye care services provided under the NHS Standard Contract, the condition for processing special category data will be the provision of health care. The lawful basis for data processing is likely to be: </w:t>
      </w:r>
    </w:p>
    <w:p w14:paraId="31705749" w14:textId="687C528F" w:rsidR="004319E4" w:rsidRPr="00D71A4F" w:rsidRDefault="004319E4" w:rsidP="007659AD">
      <w:pPr>
        <w:pStyle w:val="ListParagraph"/>
        <w:numPr>
          <w:ilvl w:val="0"/>
          <w:numId w:val="33"/>
        </w:numPr>
        <w:ind w:right="11"/>
        <w:rPr>
          <w:rFonts w:ascii="Arial" w:hAnsi="Arial" w:cs="Arial"/>
        </w:rPr>
      </w:pPr>
      <w:r w:rsidRPr="00D71A4F">
        <w:rPr>
          <w:rFonts w:ascii="Arial" w:hAnsi="Arial" w:cs="Arial"/>
          <w:b/>
        </w:rPr>
        <w:t>for legitimate interests</w:t>
      </w:r>
      <w:r w:rsidRPr="00D71A4F">
        <w:rPr>
          <w:rFonts w:ascii="Arial" w:hAnsi="Arial" w:cs="Arial"/>
        </w:rPr>
        <w:t xml:space="preserve"> –  e.g. keeping patient record cards, dispense of spectacles, contacting existing patients about appointments for future sight tests </w:t>
      </w:r>
    </w:p>
    <w:p w14:paraId="3DD14EE1" w14:textId="77777777" w:rsidR="004319E4" w:rsidRPr="00D71A4F" w:rsidRDefault="004319E4">
      <w:pPr>
        <w:spacing w:after="250"/>
        <w:ind w:left="-5" w:right="11"/>
        <w:rPr>
          <w:rFonts w:ascii="Arial" w:hAnsi="Arial" w:cs="Arial"/>
        </w:rPr>
      </w:pPr>
      <w:r w:rsidRPr="00D71A4F">
        <w:rPr>
          <w:rFonts w:ascii="Arial" w:hAnsi="Arial" w:cs="Arial"/>
        </w:rPr>
        <w:t xml:space="preserve">For patients whose sight test is GOS funded, the condition for processing special category data will again be the provision of health care. The lawful basis for data processing is likely to be:   </w:t>
      </w:r>
    </w:p>
    <w:p w14:paraId="21CBF2E5" w14:textId="090F5A57" w:rsidR="004319E4" w:rsidRPr="00D71A4F" w:rsidRDefault="004319E4" w:rsidP="007659AD">
      <w:pPr>
        <w:pStyle w:val="ListParagraph"/>
        <w:numPr>
          <w:ilvl w:val="0"/>
          <w:numId w:val="33"/>
        </w:numPr>
        <w:ind w:right="11"/>
        <w:rPr>
          <w:rFonts w:ascii="Arial" w:hAnsi="Arial" w:cs="Arial"/>
        </w:rPr>
      </w:pPr>
      <w:r w:rsidRPr="00D71A4F">
        <w:rPr>
          <w:rFonts w:ascii="Arial" w:hAnsi="Arial" w:cs="Arial"/>
          <w:b/>
        </w:rPr>
        <w:t>the performance of a task carried out in the public interest</w:t>
      </w:r>
      <w:r w:rsidRPr="00D71A4F">
        <w:rPr>
          <w:rFonts w:ascii="Arial" w:hAnsi="Arial" w:cs="Arial"/>
        </w:rPr>
        <w:t xml:space="preserve"> (for processing of the patient</w:t>
      </w:r>
      <w:r w:rsidR="007659AD" w:rsidRPr="00D71A4F">
        <w:rPr>
          <w:rFonts w:ascii="Arial" w:hAnsi="Arial" w:cs="Arial"/>
        </w:rPr>
        <w:t xml:space="preserve"> </w:t>
      </w:r>
      <w:r w:rsidRPr="00D71A4F">
        <w:rPr>
          <w:rFonts w:ascii="Arial" w:hAnsi="Arial" w:cs="Arial"/>
        </w:rPr>
        <w:t xml:space="preserve">health record and GOS claim) and </w:t>
      </w:r>
      <w:r w:rsidRPr="00D71A4F">
        <w:rPr>
          <w:rFonts w:ascii="Arial" w:hAnsi="Arial" w:cs="Arial"/>
          <w:b/>
        </w:rPr>
        <w:t>legitimate interests</w:t>
      </w:r>
      <w:r w:rsidRPr="00D71A4F">
        <w:rPr>
          <w:rFonts w:ascii="Arial" w:hAnsi="Arial" w:cs="Arial"/>
        </w:rPr>
        <w:t xml:space="preserve"> (e.g. for processing for the dispense of spectacles, or to send reminders for future appointments). </w:t>
      </w:r>
    </w:p>
    <w:p w14:paraId="2831F6E9" w14:textId="77777777" w:rsidR="004319E4" w:rsidRPr="00D71A4F" w:rsidRDefault="004319E4">
      <w:pPr>
        <w:ind w:left="-5" w:right="11"/>
        <w:rPr>
          <w:rFonts w:ascii="Arial" w:hAnsi="Arial" w:cs="Arial"/>
        </w:rPr>
      </w:pPr>
      <w:r w:rsidRPr="00D71A4F">
        <w:rPr>
          <w:rFonts w:ascii="Arial" w:hAnsi="Arial" w:cs="Arial"/>
        </w:rPr>
        <w:t xml:space="preserve">The legal bases for processing data for a GOS sight test are different because a practice performing GOS work is treated as a public authority for that purpose, and so cannot use “legitimate interests” as a legal basis for processing the patient health record. </w:t>
      </w:r>
    </w:p>
    <w:p w14:paraId="1FDA1992" w14:textId="77777777" w:rsidR="004319E4" w:rsidRPr="00D71A4F" w:rsidRDefault="004319E4">
      <w:pPr>
        <w:pStyle w:val="Heading1"/>
        <w:ind w:left="-5" w:right="0"/>
        <w:rPr>
          <w:rFonts w:ascii="Arial" w:hAnsi="Arial" w:cs="Arial"/>
        </w:rPr>
      </w:pPr>
      <w:bookmarkStart w:id="11" w:name="_Toc30768823"/>
      <w:r w:rsidRPr="00D71A4F">
        <w:rPr>
          <w:rFonts w:ascii="Arial" w:hAnsi="Arial" w:cs="Arial"/>
        </w:rPr>
        <w:t>Customer and marketing data</w:t>
      </w:r>
      <w:bookmarkEnd w:id="11"/>
      <w:r w:rsidRPr="00D71A4F">
        <w:rPr>
          <w:rFonts w:ascii="Arial" w:hAnsi="Arial" w:cs="Arial"/>
        </w:rPr>
        <w:t xml:space="preserve"> </w:t>
      </w:r>
    </w:p>
    <w:p w14:paraId="0D13B01D" w14:textId="77777777" w:rsidR="004319E4" w:rsidRPr="00D71A4F" w:rsidRDefault="004319E4">
      <w:pPr>
        <w:spacing w:after="202" w:line="274" w:lineRule="auto"/>
        <w:ind w:left="-5"/>
        <w:rPr>
          <w:rFonts w:ascii="Arial" w:hAnsi="Arial" w:cs="Arial"/>
        </w:rPr>
      </w:pPr>
      <w:r w:rsidRPr="00D71A4F">
        <w:rPr>
          <w:rFonts w:ascii="Arial" w:hAnsi="Arial" w:cs="Arial"/>
        </w:rPr>
        <w:t>When sending direct marketing to existing customers your lawful basis is likely to be “</w:t>
      </w:r>
      <w:r w:rsidRPr="00D71A4F">
        <w:rPr>
          <w:rFonts w:ascii="Arial" w:hAnsi="Arial" w:cs="Arial"/>
          <w:b/>
        </w:rPr>
        <w:t>for legitimate interests”</w:t>
      </w:r>
      <w:r w:rsidRPr="00D71A4F">
        <w:rPr>
          <w:rFonts w:ascii="Arial" w:hAnsi="Arial" w:cs="Arial"/>
        </w:rPr>
        <w:t xml:space="preserve">. </w:t>
      </w:r>
    </w:p>
    <w:p w14:paraId="4757F33F" w14:textId="77777777" w:rsidR="004319E4" w:rsidRPr="00D71A4F" w:rsidRDefault="004319E4">
      <w:pPr>
        <w:ind w:left="-5" w:right="11"/>
        <w:rPr>
          <w:rFonts w:ascii="Arial" w:hAnsi="Arial" w:cs="Arial"/>
        </w:rPr>
      </w:pPr>
      <w:r w:rsidRPr="00D71A4F">
        <w:rPr>
          <w:rFonts w:ascii="Arial" w:hAnsi="Arial" w:cs="Arial"/>
        </w:rPr>
        <w:t xml:space="preserve">Whenever using legitimate interests as your legal basis for non-health purposes, such as marketing, you must make it clear to a customer or patient that they can ask you to stop processing their data for this purpose at any time. If they do, you must stop unless you can demonstrate that your legitimate interests in processing the data outweigh theirs. You will not usually be able to show this. </w:t>
      </w:r>
    </w:p>
    <w:p w14:paraId="141B7FE5" w14:textId="77777777" w:rsidR="004319E4" w:rsidRPr="00D71A4F" w:rsidRDefault="004319E4">
      <w:pPr>
        <w:ind w:left="-5" w:right="11"/>
        <w:rPr>
          <w:rFonts w:ascii="Arial" w:hAnsi="Arial" w:cs="Arial"/>
        </w:rPr>
      </w:pPr>
      <w:r w:rsidRPr="00D71A4F">
        <w:rPr>
          <w:rFonts w:ascii="Arial" w:hAnsi="Arial" w:cs="Arial"/>
        </w:rPr>
        <w:t xml:space="preserve">It is possible however that some practices/businesses will rely on </w:t>
      </w:r>
      <w:r w:rsidRPr="00D71A4F">
        <w:rPr>
          <w:rFonts w:ascii="Arial" w:hAnsi="Arial" w:cs="Arial"/>
          <w:b/>
        </w:rPr>
        <w:t>consent</w:t>
      </w:r>
      <w:r w:rsidRPr="00D71A4F">
        <w:rPr>
          <w:rFonts w:ascii="Arial" w:hAnsi="Arial" w:cs="Arial"/>
        </w:rPr>
        <w:t xml:space="preserve"> as the lawful basis for specific marketing purposes.  </w:t>
      </w:r>
    </w:p>
    <w:p w14:paraId="7E063D05" w14:textId="67FD11EA" w:rsidR="004319E4" w:rsidRPr="00D71A4F" w:rsidRDefault="004319E4">
      <w:pPr>
        <w:ind w:left="-5" w:right="11"/>
        <w:rPr>
          <w:rFonts w:ascii="Arial" w:hAnsi="Arial" w:cs="Arial"/>
        </w:rPr>
      </w:pPr>
      <w:r w:rsidRPr="00D71A4F">
        <w:rPr>
          <w:rFonts w:ascii="Arial" w:hAnsi="Arial" w:cs="Arial"/>
        </w:rPr>
        <w:t xml:space="preserve">In cases where you use customer consent as the lawful basis for holding/processing personal data, it is important that your consent procedures are compliant with the new rules.  </w:t>
      </w:r>
    </w:p>
    <w:p w14:paraId="72A52841" w14:textId="24F7C807" w:rsidR="004001BD" w:rsidRDefault="004001BD">
      <w:pPr>
        <w:ind w:left="-5" w:right="11"/>
        <w:rPr>
          <w:rFonts w:ascii="Arial" w:hAnsi="Arial" w:cs="Arial"/>
        </w:rPr>
      </w:pPr>
    </w:p>
    <w:p w14:paraId="50C17B46" w14:textId="77777777" w:rsidR="000A0439" w:rsidRPr="00D71A4F" w:rsidRDefault="000A0439">
      <w:pPr>
        <w:ind w:left="-5" w:right="11"/>
        <w:rPr>
          <w:rFonts w:ascii="Arial" w:hAnsi="Arial" w:cs="Arial"/>
        </w:rPr>
      </w:pPr>
    </w:p>
    <w:p w14:paraId="505FD7EF" w14:textId="77777777" w:rsidR="004319E4" w:rsidRPr="00D71A4F" w:rsidRDefault="004319E4">
      <w:pPr>
        <w:spacing w:after="241"/>
        <w:ind w:left="-5" w:right="11"/>
        <w:rPr>
          <w:rFonts w:ascii="Arial" w:hAnsi="Arial" w:cs="Arial"/>
        </w:rPr>
      </w:pPr>
      <w:r w:rsidRPr="00D71A4F">
        <w:rPr>
          <w:rFonts w:ascii="Arial" w:hAnsi="Arial" w:cs="Arial"/>
        </w:rPr>
        <w:lastRenderedPageBreak/>
        <w:t xml:space="preserve">In order to comply with the new rules consent must be:  </w:t>
      </w:r>
    </w:p>
    <w:p w14:paraId="07EBD40E" w14:textId="77777777" w:rsidR="004319E4" w:rsidRPr="00D71A4F" w:rsidRDefault="004319E4">
      <w:pPr>
        <w:numPr>
          <w:ilvl w:val="0"/>
          <w:numId w:val="11"/>
        </w:numPr>
        <w:spacing w:after="36"/>
        <w:ind w:right="11" w:hanging="360"/>
        <w:rPr>
          <w:rFonts w:ascii="Arial" w:hAnsi="Arial" w:cs="Arial"/>
        </w:rPr>
      </w:pPr>
      <w:r w:rsidRPr="00D71A4F">
        <w:rPr>
          <w:rFonts w:ascii="Arial" w:hAnsi="Arial" w:cs="Arial"/>
        </w:rPr>
        <w:t xml:space="preserve">given by a clear affirmative act – e.g. include ticking a box when visiting an internet website, therefore silence, pre-ticked boxes or inactivity do not constitute consent </w:t>
      </w:r>
    </w:p>
    <w:p w14:paraId="7D32C398" w14:textId="77777777" w:rsidR="004319E4" w:rsidRPr="00D71A4F" w:rsidRDefault="004319E4">
      <w:pPr>
        <w:numPr>
          <w:ilvl w:val="0"/>
          <w:numId w:val="11"/>
        </w:numPr>
        <w:spacing w:after="37"/>
        <w:ind w:right="11" w:hanging="360"/>
        <w:rPr>
          <w:rFonts w:ascii="Arial" w:hAnsi="Arial" w:cs="Arial"/>
        </w:rPr>
      </w:pPr>
      <w:r w:rsidRPr="00D71A4F">
        <w:rPr>
          <w:rFonts w:ascii="Arial" w:hAnsi="Arial" w:cs="Arial"/>
        </w:rPr>
        <w:t xml:space="preserve">freely given, specific, informed and unambiguous –the data subject agreeing by a written statement, including by electronic means, or an oral statement </w:t>
      </w:r>
    </w:p>
    <w:p w14:paraId="1F86AC5C" w14:textId="77777777" w:rsidR="004319E4" w:rsidRPr="00D71A4F" w:rsidRDefault="004319E4">
      <w:pPr>
        <w:numPr>
          <w:ilvl w:val="0"/>
          <w:numId w:val="11"/>
        </w:numPr>
        <w:ind w:right="11" w:hanging="360"/>
        <w:rPr>
          <w:rFonts w:ascii="Arial" w:hAnsi="Arial" w:cs="Arial"/>
        </w:rPr>
      </w:pPr>
      <w:r w:rsidRPr="00D71A4F">
        <w:rPr>
          <w:rFonts w:ascii="Arial" w:hAnsi="Arial" w:cs="Arial"/>
        </w:rPr>
        <w:t xml:space="preserve">easy to withdraw.  </w:t>
      </w:r>
    </w:p>
    <w:p w14:paraId="0C8F0EEE" w14:textId="77777777" w:rsidR="004319E4" w:rsidRPr="00D71A4F" w:rsidRDefault="004319E4">
      <w:pPr>
        <w:ind w:left="-5" w:right="11"/>
        <w:rPr>
          <w:rFonts w:ascii="Arial" w:hAnsi="Arial" w:cs="Arial"/>
        </w:rPr>
      </w:pPr>
      <w:r w:rsidRPr="00D71A4F">
        <w:rPr>
          <w:rFonts w:ascii="Arial" w:hAnsi="Arial" w:cs="Arial"/>
        </w:rPr>
        <w:t xml:space="preserve">If you use consent as your legal basis for marketing the customer has the right to withdraw consent at any time, and if they do so you must stop processing their data.  </w:t>
      </w:r>
    </w:p>
    <w:p w14:paraId="673C7B34" w14:textId="77777777" w:rsidR="004319E4" w:rsidRPr="00D71A4F" w:rsidRDefault="004319E4">
      <w:pPr>
        <w:ind w:left="-5" w:right="11"/>
        <w:rPr>
          <w:rFonts w:ascii="Arial" w:hAnsi="Arial" w:cs="Arial"/>
        </w:rPr>
      </w:pPr>
      <w:r w:rsidRPr="00D71A4F">
        <w:rPr>
          <w:rFonts w:ascii="Arial" w:hAnsi="Arial" w:cs="Arial"/>
        </w:rPr>
        <w:t xml:space="preserve">Your OC representative body will be able to advise in particular cases. </w:t>
      </w:r>
      <w:r w:rsidRPr="00D71A4F">
        <w:rPr>
          <w:rFonts w:ascii="Arial" w:hAnsi="Arial" w:cs="Arial"/>
          <w:b/>
        </w:rPr>
        <w:t xml:space="preserve"> </w:t>
      </w:r>
    </w:p>
    <w:p w14:paraId="164F6351" w14:textId="77777777" w:rsidR="004319E4" w:rsidRPr="00D71A4F" w:rsidRDefault="004319E4">
      <w:pPr>
        <w:pStyle w:val="Heading1"/>
        <w:ind w:left="-5" w:right="0"/>
        <w:rPr>
          <w:rFonts w:ascii="Arial" w:hAnsi="Arial" w:cs="Arial"/>
        </w:rPr>
      </w:pPr>
      <w:bookmarkStart w:id="12" w:name="_Toc30768824"/>
      <w:r w:rsidRPr="00D71A4F">
        <w:rPr>
          <w:rFonts w:ascii="Arial" w:hAnsi="Arial" w:cs="Arial"/>
        </w:rPr>
        <w:t>Employee Records and Data</w:t>
      </w:r>
      <w:bookmarkEnd w:id="12"/>
      <w:r w:rsidRPr="00D71A4F">
        <w:rPr>
          <w:rFonts w:ascii="Arial" w:hAnsi="Arial" w:cs="Arial"/>
        </w:rPr>
        <w:t xml:space="preserve">  </w:t>
      </w:r>
    </w:p>
    <w:p w14:paraId="7EA1E3B4" w14:textId="77777777" w:rsidR="004319E4" w:rsidRPr="00D71A4F" w:rsidRDefault="004319E4">
      <w:pPr>
        <w:ind w:left="-5" w:right="11"/>
        <w:rPr>
          <w:rFonts w:ascii="Arial" w:hAnsi="Arial" w:cs="Arial"/>
        </w:rPr>
      </w:pPr>
      <w:r w:rsidRPr="00D71A4F">
        <w:rPr>
          <w:rFonts w:ascii="Arial" w:hAnsi="Arial" w:cs="Arial"/>
        </w:rPr>
        <w:t xml:space="preserve">Employee records and data are normally held and processed on one of the following legal bases:  </w:t>
      </w:r>
    </w:p>
    <w:p w14:paraId="23A962F5" w14:textId="77777777" w:rsidR="004319E4" w:rsidRPr="00D71A4F" w:rsidRDefault="004319E4">
      <w:pPr>
        <w:numPr>
          <w:ilvl w:val="0"/>
          <w:numId w:val="12"/>
        </w:numPr>
        <w:spacing w:after="23" w:line="267" w:lineRule="auto"/>
        <w:ind w:right="11" w:hanging="360"/>
        <w:rPr>
          <w:rFonts w:ascii="Arial" w:hAnsi="Arial" w:cs="Arial"/>
        </w:rPr>
      </w:pPr>
      <w:r w:rsidRPr="00D71A4F">
        <w:rPr>
          <w:rFonts w:ascii="Arial" w:hAnsi="Arial" w:cs="Arial"/>
          <w:b/>
        </w:rPr>
        <w:t>for the performance of a contract with the data subject</w:t>
      </w:r>
      <w:r w:rsidRPr="00D71A4F">
        <w:rPr>
          <w:rFonts w:ascii="Arial" w:hAnsi="Arial" w:cs="Arial"/>
        </w:rPr>
        <w:t xml:space="preserve"> – e.g. employee records, payment of salary. </w:t>
      </w:r>
    </w:p>
    <w:p w14:paraId="34462081" w14:textId="77777777" w:rsidR="004319E4" w:rsidRPr="00D71A4F" w:rsidRDefault="004319E4">
      <w:pPr>
        <w:numPr>
          <w:ilvl w:val="0"/>
          <w:numId w:val="12"/>
        </w:numPr>
        <w:spacing w:after="0"/>
        <w:ind w:right="11" w:hanging="360"/>
        <w:rPr>
          <w:rFonts w:ascii="Arial" w:hAnsi="Arial" w:cs="Arial"/>
        </w:rPr>
      </w:pPr>
      <w:r w:rsidRPr="00D71A4F">
        <w:rPr>
          <w:rFonts w:ascii="Arial" w:hAnsi="Arial" w:cs="Arial"/>
        </w:rPr>
        <w:t xml:space="preserve">in order to comply with a </w:t>
      </w:r>
      <w:r w:rsidRPr="00D71A4F">
        <w:rPr>
          <w:rFonts w:ascii="Arial" w:hAnsi="Arial" w:cs="Arial"/>
          <w:b/>
        </w:rPr>
        <w:t>legal obligation</w:t>
      </w:r>
      <w:r w:rsidRPr="00D71A4F">
        <w:rPr>
          <w:rFonts w:ascii="Arial" w:hAnsi="Arial" w:cs="Arial"/>
        </w:rPr>
        <w:t xml:space="preserve"> - e.g. on tax and pensions </w:t>
      </w:r>
    </w:p>
    <w:p w14:paraId="0159C3FE" w14:textId="77777777" w:rsidR="004319E4" w:rsidRPr="00D71A4F" w:rsidRDefault="004319E4">
      <w:pPr>
        <w:numPr>
          <w:ilvl w:val="0"/>
          <w:numId w:val="12"/>
        </w:numPr>
        <w:spacing w:after="0"/>
        <w:ind w:right="11" w:hanging="360"/>
        <w:rPr>
          <w:rFonts w:ascii="Arial" w:hAnsi="Arial" w:cs="Arial"/>
        </w:rPr>
      </w:pPr>
      <w:r w:rsidRPr="00D71A4F">
        <w:rPr>
          <w:rFonts w:ascii="Arial" w:hAnsi="Arial" w:cs="Arial"/>
        </w:rPr>
        <w:t xml:space="preserve">due to </w:t>
      </w:r>
      <w:r w:rsidRPr="00D71A4F">
        <w:rPr>
          <w:rFonts w:ascii="Arial" w:hAnsi="Arial" w:cs="Arial"/>
          <w:b/>
        </w:rPr>
        <w:t>legitimate interests</w:t>
      </w:r>
      <w:r w:rsidRPr="00D71A4F">
        <w:rPr>
          <w:rFonts w:ascii="Arial" w:hAnsi="Arial" w:cs="Arial"/>
        </w:rPr>
        <w:t xml:space="preserve"> of the practice/business – e.g. recording and managing holiday dates. </w:t>
      </w:r>
    </w:p>
    <w:p w14:paraId="6BC0938E" w14:textId="77777777" w:rsidR="004319E4" w:rsidRPr="00D71A4F" w:rsidRDefault="004319E4">
      <w:pPr>
        <w:spacing w:after="19" w:line="259" w:lineRule="auto"/>
        <w:ind w:left="0" w:firstLine="0"/>
        <w:rPr>
          <w:rFonts w:ascii="Arial" w:hAnsi="Arial" w:cs="Arial"/>
        </w:rPr>
      </w:pPr>
      <w:r w:rsidRPr="00D71A4F">
        <w:rPr>
          <w:rFonts w:ascii="Arial" w:hAnsi="Arial" w:cs="Arial"/>
        </w:rPr>
        <w:t xml:space="preserve"> </w:t>
      </w:r>
    </w:p>
    <w:p w14:paraId="55E995D6" w14:textId="77777777" w:rsidR="004319E4" w:rsidRPr="00D71A4F" w:rsidRDefault="004319E4">
      <w:pPr>
        <w:ind w:left="-5" w:right="11"/>
        <w:rPr>
          <w:rFonts w:ascii="Arial" w:hAnsi="Arial" w:cs="Arial"/>
        </w:rPr>
      </w:pPr>
      <w:r w:rsidRPr="00D71A4F">
        <w:rPr>
          <w:rFonts w:ascii="Arial" w:hAnsi="Arial" w:cs="Arial"/>
        </w:rPr>
        <w:t xml:space="preserve">You are also likely to hold some data on your staff that falls into a special category, for example if you maintain sickness records, for which you will need to identify a condition from table 2 in Annex B, most likely </w:t>
      </w:r>
      <w:r w:rsidRPr="00D71A4F">
        <w:rPr>
          <w:rFonts w:ascii="Arial" w:hAnsi="Arial" w:cs="Arial"/>
          <w:b/>
        </w:rPr>
        <w:t>assessing the working capacity of the employee</w:t>
      </w:r>
      <w:r w:rsidRPr="00D71A4F">
        <w:rPr>
          <w:rFonts w:ascii="Arial" w:hAnsi="Arial" w:cs="Arial"/>
        </w:rPr>
        <w:t xml:space="preserve">. </w:t>
      </w:r>
    </w:p>
    <w:p w14:paraId="7D2623A8" w14:textId="77777777" w:rsidR="004319E4" w:rsidRPr="00D71A4F" w:rsidRDefault="004319E4">
      <w:pPr>
        <w:ind w:left="-5" w:right="11"/>
        <w:rPr>
          <w:rFonts w:ascii="Arial" w:hAnsi="Arial" w:cs="Arial"/>
        </w:rPr>
      </w:pPr>
      <w:r w:rsidRPr="00D71A4F">
        <w:rPr>
          <w:rFonts w:ascii="Arial" w:hAnsi="Arial" w:cs="Arial"/>
        </w:rPr>
        <w:t xml:space="preserve">So you don’t need to ask staff to sign consent forms for you to hold their data for HR purposes. But, as with all personal data you process, you should only hold and process it if you need to do so for a specific purpose and you must respect the data subject’s rights (see </w:t>
      </w:r>
      <w:r w:rsidRPr="00D71A4F">
        <w:rPr>
          <w:rFonts w:ascii="Arial" w:hAnsi="Arial" w:cs="Arial"/>
          <w:b/>
        </w:rPr>
        <w:t>Annex C</w:t>
      </w:r>
      <w:r w:rsidRPr="00D71A4F">
        <w:rPr>
          <w:rFonts w:ascii="Arial" w:hAnsi="Arial" w:cs="Arial"/>
        </w:rPr>
        <w:t xml:space="preserve">).    </w:t>
      </w:r>
    </w:p>
    <w:p w14:paraId="3B32D9F8" w14:textId="77777777" w:rsidR="004319E4" w:rsidRPr="00D71A4F" w:rsidRDefault="004319E4">
      <w:pPr>
        <w:tabs>
          <w:tab w:val="center" w:pos="2414"/>
        </w:tabs>
        <w:spacing w:after="209" w:line="267" w:lineRule="auto"/>
        <w:ind w:left="-15" w:firstLine="0"/>
        <w:rPr>
          <w:rFonts w:ascii="Arial" w:hAnsi="Arial" w:cs="Arial"/>
        </w:rPr>
      </w:pPr>
      <w:r w:rsidRPr="00D71A4F">
        <w:rPr>
          <w:rFonts w:ascii="Arial" w:hAnsi="Arial" w:cs="Arial"/>
          <w:b/>
        </w:rPr>
        <w:t xml:space="preserve">2.5  </w:t>
      </w:r>
      <w:r w:rsidRPr="00D71A4F">
        <w:rPr>
          <w:rFonts w:ascii="Arial" w:hAnsi="Arial" w:cs="Arial"/>
          <w:b/>
        </w:rPr>
        <w:tab/>
        <w:t xml:space="preserve">Managing patient and customer data </w:t>
      </w:r>
      <w:r w:rsidRPr="00D71A4F">
        <w:rPr>
          <w:rFonts w:ascii="Arial" w:hAnsi="Arial" w:cs="Arial"/>
        </w:rPr>
        <w:t xml:space="preserve"> </w:t>
      </w:r>
    </w:p>
    <w:p w14:paraId="28E0D557" w14:textId="77777777" w:rsidR="004319E4" w:rsidRPr="00D71A4F" w:rsidRDefault="004319E4">
      <w:pPr>
        <w:pStyle w:val="Heading1"/>
        <w:ind w:left="-5" w:right="0"/>
        <w:rPr>
          <w:rFonts w:ascii="Arial" w:hAnsi="Arial" w:cs="Arial"/>
        </w:rPr>
      </w:pPr>
      <w:bookmarkStart w:id="13" w:name="_Toc30768825"/>
      <w:r w:rsidRPr="00D71A4F">
        <w:rPr>
          <w:rFonts w:ascii="Arial" w:hAnsi="Arial" w:cs="Arial"/>
        </w:rPr>
        <w:t>Health care records</w:t>
      </w:r>
      <w:bookmarkEnd w:id="13"/>
      <w:r w:rsidRPr="00D71A4F">
        <w:rPr>
          <w:rFonts w:ascii="Arial" w:hAnsi="Arial" w:cs="Arial"/>
        </w:rPr>
        <w:t xml:space="preserve"> </w:t>
      </w:r>
    </w:p>
    <w:p w14:paraId="546520B4" w14:textId="77777777" w:rsidR="004319E4" w:rsidRPr="00D71A4F" w:rsidRDefault="004319E4">
      <w:pPr>
        <w:ind w:left="-5" w:right="11"/>
        <w:rPr>
          <w:rFonts w:ascii="Arial" w:hAnsi="Arial" w:cs="Arial"/>
        </w:rPr>
      </w:pPr>
      <w:r w:rsidRPr="00D71A4F">
        <w:rPr>
          <w:rFonts w:ascii="Arial" w:hAnsi="Arial" w:cs="Arial"/>
        </w:rPr>
        <w:t xml:space="preserve">The new law complements rather than replaces existing best practice guidance and standards and contractual requirements on record keeping. </w:t>
      </w:r>
    </w:p>
    <w:p w14:paraId="46A478C6" w14:textId="77777777" w:rsidR="004319E4" w:rsidRPr="00D71A4F" w:rsidRDefault="004319E4">
      <w:pPr>
        <w:spacing w:after="253"/>
        <w:ind w:left="-5" w:right="11"/>
        <w:rPr>
          <w:rFonts w:ascii="Arial" w:hAnsi="Arial" w:cs="Arial"/>
        </w:rPr>
      </w:pPr>
      <w:r w:rsidRPr="00D71A4F">
        <w:rPr>
          <w:rFonts w:ascii="Arial" w:hAnsi="Arial" w:cs="Arial"/>
        </w:rPr>
        <w:t xml:space="preserve">Optical practices should continue to follow: </w:t>
      </w:r>
    </w:p>
    <w:p w14:paraId="2EBA2689" w14:textId="77777777" w:rsidR="004319E4" w:rsidRPr="00D71A4F" w:rsidRDefault="004319E4">
      <w:pPr>
        <w:numPr>
          <w:ilvl w:val="0"/>
          <w:numId w:val="13"/>
        </w:numPr>
        <w:spacing w:after="25"/>
        <w:ind w:right="11" w:hanging="360"/>
        <w:rPr>
          <w:rFonts w:ascii="Arial" w:hAnsi="Arial" w:cs="Arial"/>
        </w:rPr>
      </w:pPr>
      <w:r w:rsidRPr="00D71A4F">
        <w:rPr>
          <w:rFonts w:ascii="Arial" w:hAnsi="Arial" w:cs="Arial"/>
        </w:rPr>
        <w:t xml:space="preserve">GOS contract requirements, including retention periods </w:t>
      </w:r>
    </w:p>
    <w:p w14:paraId="3665311C" w14:textId="77777777" w:rsidR="004319E4" w:rsidRPr="00D71A4F" w:rsidRDefault="004319E4">
      <w:pPr>
        <w:numPr>
          <w:ilvl w:val="0"/>
          <w:numId w:val="13"/>
        </w:numPr>
        <w:spacing w:after="29"/>
        <w:ind w:right="11" w:hanging="360"/>
        <w:rPr>
          <w:rFonts w:ascii="Arial" w:hAnsi="Arial" w:cs="Arial"/>
        </w:rPr>
      </w:pPr>
      <w:r w:rsidRPr="00D71A4F">
        <w:rPr>
          <w:rFonts w:ascii="Arial" w:hAnsi="Arial" w:cs="Arial"/>
        </w:rPr>
        <w:t xml:space="preserve">GOC standards </w:t>
      </w:r>
    </w:p>
    <w:p w14:paraId="42E34DB4" w14:textId="1055A319" w:rsidR="004319E4" w:rsidRPr="00D71A4F" w:rsidRDefault="004319E4" w:rsidP="00A4285C">
      <w:pPr>
        <w:numPr>
          <w:ilvl w:val="0"/>
          <w:numId w:val="13"/>
        </w:numPr>
        <w:spacing w:after="181"/>
        <w:ind w:right="11" w:hanging="360"/>
        <w:rPr>
          <w:rFonts w:ascii="Arial" w:hAnsi="Arial" w:cs="Arial"/>
        </w:rPr>
      </w:pPr>
      <w:r w:rsidRPr="00D71A4F">
        <w:rPr>
          <w:rFonts w:ascii="Arial" w:hAnsi="Arial" w:cs="Arial"/>
        </w:rPr>
        <w:t xml:space="preserve">Sector specific guidance on record keeping, including </w:t>
      </w:r>
      <w:proofErr w:type="spellStart"/>
      <w:r w:rsidRPr="00D71A4F">
        <w:rPr>
          <w:rFonts w:ascii="Arial" w:hAnsi="Arial" w:cs="Arial"/>
        </w:rPr>
        <w:t>QiO</w:t>
      </w:r>
      <w:proofErr w:type="spellEnd"/>
      <w:r w:rsidRPr="00D71A4F">
        <w:rPr>
          <w:rFonts w:ascii="Arial" w:hAnsi="Arial" w:cs="Arial"/>
        </w:rPr>
        <w:t xml:space="preserve"> </w:t>
      </w:r>
    </w:p>
    <w:p w14:paraId="2528C470" w14:textId="77777777" w:rsidR="004319E4" w:rsidRPr="00D71A4F" w:rsidRDefault="004319E4">
      <w:pPr>
        <w:pStyle w:val="Heading1"/>
        <w:ind w:left="-5" w:right="0"/>
        <w:rPr>
          <w:rFonts w:ascii="Arial" w:hAnsi="Arial" w:cs="Arial"/>
        </w:rPr>
      </w:pPr>
      <w:bookmarkStart w:id="14" w:name="_Toc30768826"/>
      <w:r w:rsidRPr="00D71A4F">
        <w:rPr>
          <w:rFonts w:ascii="Arial" w:hAnsi="Arial" w:cs="Arial"/>
        </w:rPr>
        <w:lastRenderedPageBreak/>
        <w:t>Patient correspondence</w:t>
      </w:r>
      <w:bookmarkEnd w:id="14"/>
      <w:r w:rsidRPr="00D71A4F">
        <w:rPr>
          <w:rFonts w:ascii="Arial" w:hAnsi="Arial" w:cs="Arial"/>
        </w:rPr>
        <w:t xml:space="preserve">  </w:t>
      </w:r>
    </w:p>
    <w:p w14:paraId="2804D28F" w14:textId="77777777" w:rsidR="004319E4" w:rsidRPr="00D71A4F" w:rsidRDefault="004319E4">
      <w:pPr>
        <w:ind w:left="-5" w:right="11"/>
        <w:rPr>
          <w:rFonts w:ascii="Arial" w:hAnsi="Arial" w:cs="Arial"/>
        </w:rPr>
      </w:pPr>
      <w:r w:rsidRPr="00D71A4F">
        <w:rPr>
          <w:rFonts w:ascii="Arial" w:hAnsi="Arial" w:cs="Arial"/>
        </w:rPr>
        <w:t xml:space="preserve">Nothing in the new law prevents practices from writing to patients about their direct care – e.g. sending appointment reminders, or writing to patients about their sight test, contact lens aftercare/follow-up, other appointments and other services which might meet their needs. Indeed, it would be clinically inappropriate if it did. However, as discussed above it will be important to understand and record the lawful basis on which personal data is processed. </w:t>
      </w:r>
    </w:p>
    <w:p w14:paraId="5C0E7191" w14:textId="77777777" w:rsidR="004319E4" w:rsidRPr="00D71A4F" w:rsidRDefault="004319E4">
      <w:pPr>
        <w:pStyle w:val="Heading1"/>
        <w:ind w:left="-5" w:right="0"/>
        <w:rPr>
          <w:rFonts w:ascii="Arial" w:hAnsi="Arial" w:cs="Arial"/>
        </w:rPr>
      </w:pPr>
      <w:bookmarkStart w:id="15" w:name="_Toc30768827"/>
      <w:r w:rsidRPr="00D71A4F">
        <w:rPr>
          <w:rFonts w:ascii="Arial" w:hAnsi="Arial" w:cs="Arial"/>
        </w:rPr>
        <w:t>Referrals</w:t>
      </w:r>
      <w:bookmarkEnd w:id="15"/>
      <w:r w:rsidRPr="00D71A4F">
        <w:rPr>
          <w:rFonts w:ascii="Arial" w:hAnsi="Arial" w:cs="Arial"/>
        </w:rPr>
        <w:t xml:space="preserve"> </w:t>
      </w:r>
    </w:p>
    <w:p w14:paraId="3127BBAA" w14:textId="77777777" w:rsidR="004319E4" w:rsidRPr="00D71A4F" w:rsidRDefault="004319E4">
      <w:pPr>
        <w:ind w:left="-5" w:right="11"/>
        <w:rPr>
          <w:rFonts w:ascii="Arial" w:hAnsi="Arial" w:cs="Arial"/>
        </w:rPr>
      </w:pPr>
      <w:r w:rsidRPr="00D71A4F">
        <w:rPr>
          <w:rFonts w:ascii="Arial" w:hAnsi="Arial" w:cs="Arial"/>
        </w:rPr>
        <w:t xml:space="preserve">Nothing in the new law prevents practices or practitioners from passing information about a patient’s direct care to other healthcare professionals, provided this is done in a way that protects the patient’s data so that it can only be accessed by those who need to see it. However, you should still ask for the patient’s permission when writing to their GP or referring them into secondary care. Similarly, practices and practitioners can use patients’ personal data in recognised NHS and social services referral systems.   </w:t>
      </w:r>
    </w:p>
    <w:p w14:paraId="5C57497D" w14:textId="77777777" w:rsidR="004319E4" w:rsidRPr="00D71A4F" w:rsidRDefault="004319E4">
      <w:pPr>
        <w:pStyle w:val="Heading1"/>
        <w:ind w:left="-5" w:right="0"/>
        <w:rPr>
          <w:rFonts w:ascii="Arial" w:hAnsi="Arial" w:cs="Arial"/>
        </w:rPr>
      </w:pPr>
      <w:bookmarkStart w:id="16" w:name="_Toc30768828"/>
      <w:r w:rsidRPr="00D71A4F">
        <w:rPr>
          <w:rFonts w:ascii="Arial" w:hAnsi="Arial" w:cs="Arial"/>
        </w:rPr>
        <w:t>Customer data for other purposes – e.g. advertising and marketing</w:t>
      </w:r>
      <w:bookmarkEnd w:id="16"/>
      <w:r w:rsidRPr="00D71A4F">
        <w:rPr>
          <w:rFonts w:ascii="Arial" w:hAnsi="Arial" w:cs="Arial"/>
        </w:rPr>
        <w:t xml:space="preserve">  </w:t>
      </w:r>
    </w:p>
    <w:p w14:paraId="1BAB2D5C" w14:textId="77777777" w:rsidR="004319E4" w:rsidRPr="00D71A4F" w:rsidRDefault="004319E4">
      <w:pPr>
        <w:ind w:left="-5" w:right="11"/>
        <w:rPr>
          <w:rFonts w:ascii="Arial" w:hAnsi="Arial" w:cs="Arial"/>
        </w:rPr>
      </w:pPr>
      <w:r w:rsidRPr="00D71A4F">
        <w:rPr>
          <w:rFonts w:ascii="Arial" w:hAnsi="Arial" w:cs="Arial"/>
        </w:rPr>
        <w:t xml:space="preserve">It is important to note that the new data protection rules do not cover all circumstances in which personal data is collected or used.  There are also other professional standards and regulations that businesses will need to comply with.  </w:t>
      </w:r>
    </w:p>
    <w:p w14:paraId="10F7D9F2" w14:textId="77777777" w:rsidR="004319E4" w:rsidRPr="00D71A4F" w:rsidRDefault="004319E4">
      <w:pPr>
        <w:spacing w:after="237"/>
        <w:ind w:left="-5" w:right="11"/>
        <w:rPr>
          <w:rFonts w:ascii="Arial" w:hAnsi="Arial" w:cs="Arial"/>
        </w:rPr>
      </w:pPr>
      <w:r w:rsidRPr="00D71A4F">
        <w:rPr>
          <w:rFonts w:ascii="Arial" w:hAnsi="Arial" w:cs="Arial"/>
        </w:rPr>
        <w:t xml:space="preserve">For the purposes of this guidance businesses should ensure customer data is processed in a way that complies with: </w:t>
      </w:r>
    </w:p>
    <w:p w14:paraId="0F70E33F" w14:textId="77777777" w:rsidR="004319E4" w:rsidRPr="00D71A4F" w:rsidRDefault="004319E4" w:rsidP="00A4285C">
      <w:pPr>
        <w:pStyle w:val="ListParagraph"/>
        <w:numPr>
          <w:ilvl w:val="0"/>
          <w:numId w:val="33"/>
        </w:numPr>
        <w:spacing w:after="32"/>
        <w:ind w:right="11"/>
        <w:rPr>
          <w:rFonts w:ascii="Arial" w:hAnsi="Arial" w:cs="Arial"/>
        </w:rPr>
      </w:pPr>
      <w:r w:rsidRPr="00D71A4F">
        <w:rPr>
          <w:rFonts w:ascii="Arial" w:hAnsi="Arial" w:cs="Arial"/>
        </w:rPr>
        <w:t xml:space="preserve">new data protection requirements  </w:t>
      </w:r>
    </w:p>
    <w:p w14:paraId="78CAA28D" w14:textId="77777777" w:rsidR="004319E4" w:rsidRPr="00D71A4F" w:rsidRDefault="004319E4" w:rsidP="00A4285C">
      <w:pPr>
        <w:pStyle w:val="ListParagraph"/>
        <w:numPr>
          <w:ilvl w:val="0"/>
          <w:numId w:val="33"/>
        </w:numPr>
        <w:ind w:right="11"/>
        <w:rPr>
          <w:rFonts w:ascii="Arial" w:hAnsi="Arial" w:cs="Arial"/>
        </w:rPr>
      </w:pPr>
      <w:r w:rsidRPr="00D71A4F">
        <w:rPr>
          <w:rFonts w:ascii="Arial" w:hAnsi="Arial" w:cs="Arial"/>
        </w:rPr>
        <w:t>the Privacy and Electronic Communications Regulations (</w:t>
      </w:r>
      <w:hyperlink r:id="rId17">
        <w:r w:rsidRPr="00D71A4F">
          <w:rPr>
            <w:rFonts w:ascii="Arial" w:hAnsi="Arial" w:cs="Arial"/>
            <w:color w:val="0000FF"/>
            <w:u w:val="single" w:color="0000FF"/>
          </w:rPr>
          <w:t>PECR</w:t>
        </w:r>
      </w:hyperlink>
      <w:hyperlink r:id="rId18">
        <w:r w:rsidRPr="00D71A4F">
          <w:rPr>
            <w:rFonts w:ascii="Arial" w:hAnsi="Arial" w:cs="Arial"/>
          </w:rPr>
          <w:t>)</w:t>
        </w:r>
      </w:hyperlink>
      <w:r w:rsidRPr="00D71A4F">
        <w:rPr>
          <w:rFonts w:ascii="Arial" w:hAnsi="Arial" w:cs="Arial"/>
          <w:vertAlign w:val="superscript"/>
        </w:rPr>
        <w:endnoteReference w:id="4"/>
      </w:r>
      <w:r w:rsidRPr="00D71A4F">
        <w:rPr>
          <w:rFonts w:ascii="Arial" w:hAnsi="Arial" w:cs="Arial"/>
        </w:rPr>
        <w:t xml:space="preserve">. </w:t>
      </w:r>
    </w:p>
    <w:p w14:paraId="10CB040C" w14:textId="77777777" w:rsidR="004319E4" w:rsidRPr="00D71A4F" w:rsidRDefault="004319E4">
      <w:pPr>
        <w:spacing w:after="240"/>
        <w:ind w:left="-5" w:right="11"/>
        <w:rPr>
          <w:rFonts w:ascii="Arial" w:hAnsi="Arial" w:cs="Arial"/>
        </w:rPr>
      </w:pPr>
      <w:r w:rsidRPr="00D71A4F">
        <w:rPr>
          <w:rFonts w:ascii="Arial" w:hAnsi="Arial" w:cs="Arial"/>
        </w:rPr>
        <w:t xml:space="preserve">Businesses might find the following ICO resources helpful </w:t>
      </w:r>
    </w:p>
    <w:p w14:paraId="5766E78C" w14:textId="77777777" w:rsidR="004319E4" w:rsidRPr="00D71A4F" w:rsidRDefault="00DC1C78" w:rsidP="00A4285C">
      <w:pPr>
        <w:pStyle w:val="ListParagraph"/>
        <w:numPr>
          <w:ilvl w:val="0"/>
          <w:numId w:val="34"/>
        </w:numPr>
        <w:spacing w:after="52" w:line="259" w:lineRule="auto"/>
        <w:ind w:left="426" w:right="11"/>
        <w:rPr>
          <w:rFonts w:ascii="Arial" w:hAnsi="Arial" w:cs="Arial"/>
        </w:rPr>
      </w:pPr>
      <w:hyperlink r:id="rId19">
        <w:r w:rsidR="004319E4" w:rsidRPr="00D71A4F">
          <w:rPr>
            <w:rFonts w:ascii="Arial" w:hAnsi="Arial" w:cs="Arial"/>
            <w:color w:val="0000FF"/>
            <w:u w:val="single" w:color="0000FF"/>
          </w:rPr>
          <w:t>Direct Marketing, PECR</w:t>
        </w:r>
      </w:hyperlink>
      <w:hyperlink r:id="rId20">
        <w:r w:rsidR="004319E4" w:rsidRPr="00D71A4F">
          <w:rPr>
            <w:rFonts w:ascii="Arial" w:hAnsi="Arial" w:cs="Arial"/>
          </w:rPr>
          <w:t xml:space="preserve"> </w:t>
        </w:r>
      </w:hyperlink>
      <w:r w:rsidR="004319E4" w:rsidRPr="00D71A4F">
        <w:rPr>
          <w:rFonts w:ascii="Arial" w:hAnsi="Arial" w:cs="Arial"/>
        </w:rPr>
        <w:t>–</w:t>
      </w:r>
      <w:hyperlink r:id="rId21">
        <w:r w:rsidR="004319E4" w:rsidRPr="00D71A4F">
          <w:rPr>
            <w:rFonts w:ascii="Arial" w:hAnsi="Arial" w:cs="Arial"/>
          </w:rPr>
          <w:t xml:space="preserve"> </w:t>
        </w:r>
      </w:hyperlink>
      <w:hyperlink r:id="rId22">
        <w:r w:rsidR="004319E4" w:rsidRPr="00D71A4F">
          <w:rPr>
            <w:rFonts w:ascii="Arial" w:hAnsi="Arial" w:cs="Arial"/>
            <w:color w:val="0000FF"/>
            <w:u w:val="single" w:color="0000FF"/>
          </w:rPr>
          <w:t>long form</w:t>
        </w:r>
      </w:hyperlink>
      <w:hyperlink r:id="rId23">
        <w:r w:rsidR="004319E4" w:rsidRPr="00D71A4F">
          <w:rPr>
            <w:rFonts w:ascii="Arial" w:hAnsi="Arial" w:cs="Arial"/>
          </w:rPr>
          <w:t xml:space="preserve"> </w:t>
        </w:r>
      </w:hyperlink>
    </w:p>
    <w:p w14:paraId="21CDBFA0" w14:textId="77777777" w:rsidR="004319E4" w:rsidRPr="00D71A4F" w:rsidRDefault="004319E4" w:rsidP="00A4285C">
      <w:pPr>
        <w:pStyle w:val="ListParagraph"/>
        <w:numPr>
          <w:ilvl w:val="0"/>
          <w:numId w:val="34"/>
        </w:numPr>
        <w:ind w:left="426" w:right="11"/>
        <w:rPr>
          <w:rFonts w:ascii="Arial" w:hAnsi="Arial" w:cs="Arial"/>
        </w:rPr>
      </w:pPr>
      <w:r w:rsidRPr="00D71A4F">
        <w:rPr>
          <w:rFonts w:ascii="Arial" w:hAnsi="Arial" w:cs="Arial"/>
        </w:rPr>
        <w:t>Direct Marketing –</w:t>
      </w:r>
      <w:hyperlink r:id="rId24">
        <w:r w:rsidRPr="00D71A4F">
          <w:rPr>
            <w:rFonts w:ascii="Arial" w:hAnsi="Arial" w:cs="Arial"/>
          </w:rPr>
          <w:t xml:space="preserve"> </w:t>
        </w:r>
      </w:hyperlink>
      <w:hyperlink r:id="rId25">
        <w:r w:rsidRPr="00D71A4F">
          <w:rPr>
            <w:rFonts w:ascii="Arial" w:hAnsi="Arial" w:cs="Arial"/>
            <w:color w:val="0000FF"/>
            <w:u w:val="single" w:color="0000FF"/>
          </w:rPr>
          <w:t>checklist</w:t>
        </w:r>
      </w:hyperlink>
      <w:hyperlink r:id="rId26">
        <w:r w:rsidRPr="00D71A4F">
          <w:rPr>
            <w:rFonts w:ascii="Arial" w:hAnsi="Arial" w:cs="Arial"/>
          </w:rPr>
          <w:t xml:space="preserve"> </w:t>
        </w:r>
      </w:hyperlink>
      <w:r w:rsidRPr="00D71A4F">
        <w:rPr>
          <w:rFonts w:ascii="Arial" w:hAnsi="Arial" w:cs="Arial"/>
        </w:rPr>
        <w:t xml:space="preserve">  </w:t>
      </w:r>
    </w:p>
    <w:p w14:paraId="6D3D27D3" w14:textId="77777777" w:rsidR="004319E4" w:rsidRPr="00D71A4F" w:rsidRDefault="004319E4">
      <w:pPr>
        <w:ind w:left="-5" w:right="11"/>
        <w:rPr>
          <w:rFonts w:ascii="Arial" w:hAnsi="Arial" w:cs="Arial"/>
        </w:rPr>
      </w:pPr>
      <w:r w:rsidRPr="00D71A4F">
        <w:rPr>
          <w:rFonts w:ascii="Arial" w:hAnsi="Arial" w:cs="Arial"/>
        </w:rPr>
        <w:t xml:space="preserve">The new law does not prevent practices or businesses alerting potential patients or customers to their services by routine advertising, since this does not always involve processing individuals’ personal data. </w:t>
      </w:r>
    </w:p>
    <w:p w14:paraId="5E2DCD86" w14:textId="77777777" w:rsidR="004319E4" w:rsidRPr="00D71A4F" w:rsidRDefault="004319E4">
      <w:pPr>
        <w:pStyle w:val="Heading1"/>
        <w:tabs>
          <w:tab w:val="center" w:pos="3080"/>
        </w:tabs>
        <w:ind w:left="-15" w:right="0" w:firstLine="0"/>
        <w:rPr>
          <w:rFonts w:ascii="Arial" w:hAnsi="Arial" w:cs="Arial"/>
        </w:rPr>
      </w:pPr>
      <w:bookmarkStart w:id="17" w:name="_Toc30768829"/>
      <w:r w:rsidRPr="00D71A4F">
        <w:rPr>
          <w:rFonts w:ascii="Arial" w:hAnsi="Arial" w:cs="Arial"/>
        </w:rPr>
        <w:t xml:space="preserve">2.6  </w:t>
      </w:r>
      <w:r w:rsidRPr="00D71A4F">
        <w:rPr>
          <w:rFonts w:ascii="Arial" w:hAnsi="Arial" w:cs="Arial"/>
        </w:rPr>
        <w:tab/>
        <w:t>Understanding and complying with individual rights</w:t>
      </w:r>
      <w:bookmarkEnd w:id="17"/>
      <w:r w:rsidRPr="00D71A4F">
        <w:rPr>
          <w:rFonts w:ascii="Arial" w:hAnsi="Arial" w:cs="Arial"/>
        </w:rPr>
        <w:t xml:space="preserve"> </w:t>
      </w:r>
    </w:p>
    <w:p w14:paraId="12ADFD78" w14:textId="070ABDD9" w:rsidR="004319E4" w:rsidRDefault="004319E4" w:rsidP="00A4285C">
      <w:pPr>
        <w:ind w:left="-5" w:right="11"/>
        <w:rPr>
          <w:rFonts w:ascii="Arial" w:hAnsi="Arial" w:cs="Arial"/>
        </w:rPr>
      </w:pPr>
      <w:r w:rsidRPr="00D71A4F">
        <w:rPr>
          <w:rFonts w:ascii="Arial" w:hAnsi="Arial" w:cs="Arial"/>
        </w:rPr>
        <w:t xml:space="preserve">The new rules strengthen individuals’ rights over the processing of their personal data. A full list of these rights, with examples of what they might mean for optical practices, is included at </w:t>
      </w:r>
      <w:r w:rsidRPr="00D71A4F">
        <w:rPr>
          <w:rFonts w:ascii="Arial" w:hAnsi="Arial" w:cs="Arial"/>
          <w:b/>
        </w:rPr>
        <w:t>Annex C</w:t>
      </w:r>
      <w:r w:rsidRPr="00D71A4F">
        <w:rPr>
          <w:rFonts w:ascii="Arial" w:hAnsi="Arial" w:cs="Arial"/>
        </w:rPr>
        <w:t xml:space="preserve">. We set out below in greater detail a few of the key rights that optical practices should be aware of. </w:t>
      </w:r>
    </w:p>
    <w:p w14:paraId="4221D71E" w14:textId="274676F6" w:rsidR="00540A44" w:rsidRDefault="00540A44" w:rsidP="00A4285C">
      <w:pPr>
        <w:ind w:left="-5" w:right="11"/>
        <w:rPr>
          <w:rFonts w:ascii="Arial" w:hAnsi="Arial" w:cs="Arial"/>
        </w:rPr>
      </w:pPr>
    </w:p>
    <w:p w14:paraId="554E85C5" w14:textId="77777777" w:rsidR="00540A44" w:rsidRPr="00D71A4F" w:rsidRDefault="00540A44" w:rsidP="00A4285C">
      <w:pPr>
        <w:ind w:left="-5" w:right="11"/>
        <w:rPr>
          <w:rFonts w:ascii="Arial" w:hAnsi="Arial" w:cs="Arial"/>
        </w:rPr>
      </w:pPr>
    </w:p>
    <w:p w14:paraId="37E19ED0" w14:textId="77777777" w:rsidR="004319E4" w:rsidRPr="00D71A4F" w:rsidRDefault="004319E4">
      <w:pPr>
        <w:pStyle w:val="Heading1"/>
        <w:spacing w:after="9"/>
        <w:ind w:left="-5" w:right="0"/>
        <w:rPr>
          <w:rFonts w:ascii="Arial" w:hAnsi="Arial" w:cs="Arial"/>
        </w:rPr>
      </w:pPr>
      <w:bookmarkStart w:id="18" w:name="_Toc30768830"/>
      <w:r w:rsidRPr="00D71A4F">
        <w:rPr>
          <w:rFonts w:ascii="Arial" w:hAnsi="Arial" w:cs="Arial"/>
        </w:rPr>
        <w:lastRenderedPageBreak/>
        <w:t>Right to be informed: privacy notices</w:t>
      </w:r>
      <w:bookmarkEnd w:id="18"/>
      <w:r w:rsidRPr="00D71A4F">
        <w:rPr>
          <w:rFonts w:ascii="Arial" w:hAnsi="Arial" w:cs="Arial"/>
        </w:rPr>
        <w:t xml:space="preserve">  </w:t>
      </w:r>
    </w:p>
    <w:p w14:paraId="65967092" w14:textId="77777777" w:rsidR="004319E4" w:rsidRPr="00D71A4F" w:rsidRDefault="004319E4">
      <w:pPr>
        <w:spacing w:after="19" w:line="259" w:lineRule="auto"/>
        <w:ind w:left="0" w:firstLine="0"/>
        <w:rPr>
          <w:rFonts w:ascii="Arial" w:hAnsi="Arial" w:cs="Arial"/>
        </w:rPr>
      </w:pPr>
      <w:r w:rsidRPr="00D71A4F">
        <w:rPr>
          <w:rFonts w:ascii="Arial" w:hAnsi="Arial" w:cs="Arial"/>
        </w:rPr>
        <w:t xml:space="preserve"> </w:t>
      </w:r>
    </w:p>
    <w:p w14:paraId="5769772A" w14:textId="77777777" w:rsidR="004319E4" w:rsidRPr="00D71A4F" w:rsidRDefault="004319E4">
      <w:pPr>
        <w:ind w:left="-5" w:right="11"/>
        <w:rPr>
          <w:rFonts w:ascii="Arial" w:hAnsi="Arial" w:cs="Arial"/>
        </w:rPr>
      </w:pPr>
      <w:r w:rsidRPr="00D71A4F">
        <w:rPr>
          <w:rFonts w:ascii="Arial" w:hAnsi="Arial" w:cs="Arial"/>
        </w:rPr>
        <w:t xml:space="preserve">These are the notices you use to explain how you process data, and the procedures you use to deal with data queries and problems. Review these notices and, if required, update them so they comply with the new rules. Your representative body may be able to provide further advice. </w:t>
      </w:r>
    </w:p>
    <w:p w14:paraId="040D7634" w14:textId="77777777" w:rsidR="004319E4" w:rsidRPr="00D71A4F" w:rsidRDefault="004319E4">
      <w:pPr>
        <w:spacing w:after="237"/>
        <w:ind w:left="-5" w:right="11"/>
        <w:rPr>
          <w:rFonts w:ascii="Arial" w:hAnsi="Arial" w:cs="Arial"/>
        </w:rPr>
      </w:pPr>
      <w:r w:rsidRPr="00D71A4F">
        <w:rPr>
          <w:rFonts w:ascii="Arial" w:hAnsi="Arial" w:cs="Arial"/>
        </w:rPr>
        <w:t xml:space="preserve">Working through the suggestions in this guidance will help provide you with the information you need to write your privacy notices. They should be:  </w:t>
      </w:r>
    </w:p>
    <w:p w14:paraId="137C6A9B" w14:textId="77777777" w:rsidR="004319E4" w:rsidRPr="00D71A4F" w:rsidRDefault="004319E4" w:rsidP="00A4285C">
      <w:pPr>
        <w:pStyle w:val="ListParagraph"/>
        <w:numPr>
          <w:ilvl w:val="0"/>
          <w:numId w:val="35"/>
        </w:numPr>
        <w:spacing w:after="40"/>
        <w:ind w:right="11"/>
        <w:rPr>
          <w:rFonts w:ascii="Arial" w:hAnsi="Arial" w:cs="Arial"/>
        </w:rPr>
      </w:pPr>
      <w:r w:rsidRPr="00D71A4F">
        <w:rPr>
          <w:rFonts w:ascii="Arial" w:hAnsi="Arial" w:cs="Arial"/>
        </w:rPr>
        <w:t xml:space="preserve">concise and transparent </w:t>
      </w:r>
    </w:p>
    <w:p w14:paraId="2FE5CE4E" w14:textId="77777777" w:rsidR="00A4285C" w:rsidRPr="00D71A4F" w:rsidRDefault="004319E4" w:rsidP="00A4285C">
      <w:pPr>
        <w:pStyle w:val="ListParagraph"/>
        <w:numPr>
          <w:ilvl w:val="0"/>
          <w:numId w:val="35"/>
        </w:numPr>
        <w:ind w:right="11"/>
        <w:rPr>
          <w:rFonts w:ascii="Arial" w:hAnsi="Arial" w:cs="Arial"/>
        </w:rPr>
      </w:pPr>
      <w:r w:rsidRPr="00D71A4F">
        <w:rPr>
          <w:rFonts w:ascii="Arial" w:hAnsi="Arial" w:cs="Arial"/>
        </w:rPr>
        <w:t>easy to understand and access, and</w:t>
      </w:r>
    </w:p>
    <w:p w14:paraId="27127B40" w14:textId="6FB939A8" w:rsidR="004319E4" w:rsidRPr="00D71A4F" w:rsidRDefault="004319E4" w:rsidP="00A4285C">
      <w:pPr>
        <w:pStyle w:val="ListParagraph"/>
        <w:numPr>
          <w:ilvl w:val="0"/>
          <w:numId w:val="35"/>
        </w:numPr>
        <w:ind w:right="11"/>
        <w:rPr>
          <w:rFonts w:ascii="Arial" w:hAnsi="Arial" w:cs="Arial"/>
        </w:rPr>
      </w:pPr>
      <w:r w:rsidRPr="00D71A4F">
        <w:rPr>
          <w:rFonts w:ascii="Arial" w:hAnsi="Arial" w:cs="Arial"/>
        </w:rPr>
        <w:t xml:space="preserve">free of charge. </w:t>
      </w:r>
    </w:p>
    <w:p w14:paraId="0B0F0FE8" w14:textId="77777777" w:rsidR="004319E4" w:rsidRPr="00D71A4F" w:rsidRDefault="004319E4">
      <w:pPr>
        <w:spacing w:after="237"/>
        <w:ind w:left="-5" w:right="11"/>
        <w:rPr>
          <w:rFonts w:ascii="Arial" w:hAnsi="Arial" w:cs="Arial"/>
        </w:rPr>
      </w:pPr>
      <w:r w:rsidRPr="00D71A4F">
        <w:rPr>
          <w:rFonts w:ascii="Arial" w:hAnsi="Arial" w:cs="Arial"/>
        </w:rPr>
        <w:t xml:space="preserve">What the privacy notice contains will depend on how you obtained the personal data, but briefly it should include:  </w:t>
      </w:r>
    </w:p>
    <w:p w14:paraId="5BE1FFF6" w14:textId="77777777" w:rsidR="004319E4" w:rsidRPr="00D71A4F" w:rsidRDefault="004319E4" w:rsidP="00A4285C">
      <w:pPr>
        <w:pStyle w:val="ListParagraph"/>
        <w:numPr>
          <w:ilvl w:val="0"/>
          <w:numId w:val="36"/>
        </w:numPr>
        <w:spacing w:after="42"/>
        <w:ind w:right="11"/>
        <w:rPr>
          <w:rFonts w:ascii="Arial" w:hAnsi="Arial" w:cs="Arial"/>
        </w:rPr>
      </w:pPr>
      <w:r w:rsidRPr="00D71A4F">
        <w:rPr>
          <w:rFonts w:ascii="Arial" w:hAnsi="Arial" w:cs="Arial"/>
        </w:rPr>
        <w:t xml:space="preserve">data controller details </w:t>
      </w:r>
    </w:p>
    <w:p w14:paraId="0825618E" w14:textId="77777777" w:rsidR="004319E4" w:rsidRPr="00D71A4F" w:rsidRDefault="004319E4" w:rsidP="00A4285C">
      <w:pPr>
        <w:pStyle w:val="ListParagraph"/>
        <w:numPr>
          <w:ilvl w:val="0"/>
          <w:numId w:val="36"/>
        </w:numPr>
        <w:spacing w:after="39"/>
        <w:ind w:right="11"/>
        <w:rPr>
          <w:rFonts w:ascii="Arial" w:hAnsi="Arial" w:cs="Arial"/>
        </w:rPr>
      </w:pPr>
      <w:r w:rsidRPr="00D71A4F">
        <w:rPr>
          <w:rFonts w:ascii="Arial" w:hAnsi="Arial" w:cs="Arial"/>
        </w:rPr>
        <w:t xml:space="preserve">what personal data you process, why, and where possible how long you keep it </w:t>
      </w:r>
    </w:p>
    <w:p w14:paraId="1D1C2841" w14:textId="77777777" w:rsidR="004319E4" w:rsidRPr="00D71A4F" w:rsidRDefault="004319E4" w:rsidP="00A4285C">
      <w:pPr>
        <w:pStyle w:val="ListParagraph"/>
        <w:numPr>
          <w:ilvl w:val="0"/>
          <w:numId w:val="36"/>
        </w:numPr>
        <w:spacing w:after="42"/>
        <w:ind w:right="11"/>
        <w:rPr>
          <w:rFonts w:ascii="Arial" w:hAnsi="Arial" w:cs="Arial"/>
        </w:rPr>
      </w:pPr>
      <w:r w:rsidRPr="00D71A4F">
        <w:rPr>
          <w:rFonts w:ascii="Arial" w:hAnsi="Arial" w:cs="Arial"/>
        </w:rPr>
        <w:t xml:space="preserve">the lawful basis (or bases) for processing personal data </w:t>
      </w:r>
    </w:p>
    <w:p w14:paraId="5C410AC5" w14:textId="77777777" w:rsidR="004319E4" w:rsidRPr="00D71A4F" w:rsidRDefault="004319E4" w:rsidP="00A4285C">
      <w:pPr>
        <w:pStyle w:val="ListParagraph"/>
        <w:numPr>
          <w:ilvl w:val="0"/>
          <w:numId w:val="36"/>
        </w:numPr>
        <w:spacing w:after="42"/>
        <w:ind w:right="11"/>
        <w:rPr>
          <w:rFonts w:ascii="Arial" w:hAnsi="Arial" w:cs="Arial"/>
        </w:rPr>
      </w:pPr>
      <w:r w:rsidRPr="00D71A4F">
        <w:rPr>
          <w:rFonts w:ascii="Arial" w:hAnsi="Arial" w:cs="Arial"/>
        </w:rPr>
        <w:t xml:space="preserve">whether you share it with any other party, and if so why </w:t>
      </w:r>
    </w:p>
    <w:p w14:paraId="46471A82" w14:textId="77777777" w:rsidR="004319E4" w:rsidRPr="00D71A4F" w:rsidRDefault="004319E4" w:rsidP="00A4285C">
      <w:pPr>
        <w:pStyle w:val="ListParagraph"/>
        <w:numPr>
          <w:ilvl w:val="0"/>
          <w:numId w:val="36"/>
        </w:numPr>
        <w:spacing w:after="36"/>
        <w:ind w:right="11"/>
        <w:rPr>
          <w:rFonts w:ascii="Arial" w:hAnsi="Arial" w:cs="Arial"/>
        </w:rPr>
      </w:pPr>
      <w:r w:rsidRPr="00D71A4F">
        <w:rPr>
          <w:rFonts w:ascii="Arial" w:hAnsi="Arial" w:cs="Arial"/>
        </w:rPr>
        <w:t xml:space="preserve">an explanation of how to withdraw consent or opt out of marketing where relevant. If you are using consent as a lawful basis for processing then make clear the individual can withdraw consent at any time, and similarly if you have used legitimate interests for marketing the individual can also opt out of marketing; and </w:t>
      </w:r>
    </w:p>
    <w:p w14:paraId="30D0B921" w14:textId="77777777" w:rsidR="004319E4" w:rsidRPr="00D71A4F" w:rsidRDefault="004319E4" w:rsidP="00A4285C">
      <w:pPr>
        <w:pStyle w:val="ListParagraph"/>
        <w:numPr>
          <w:ilvl w:val="0"/>
          <w:numId w:val="36"/>
        </w:numPr>
        <w:ind w:right="11"/>
        <w:rPr>
          <w:rFonts w:ascii="Arial" w:hAnsi="Arial" w:cs="Arial"/>
        </w:rPr>
      </w:pPr>
      <w:r w:rsidRPr="00D71A4F">
        <w:rPr>
          <w:rFonts w:ascii="Arial" w:hAnsi="Arial" w:cs="Arial"/>
        </w:rPr>
        <w:t xml:space="preserve">how to complain to your business and to the ICO about data processing issues. </w:t>
      </w:r>
    </w:p>
    <w:p w14:paraId="525B00E7" w14:textId="77777777" w:rsidR="004319E4" w:rsidRPr="00D71A4F" w:rsidRDefault="004319E4">
      <w:pPr>
        <w:ind w:left="-5" w:right="11"/>
        <w:rPr>
          <w:rFonts w:ascii="Arial" w:hAnsi="Arial" w:cs="Arial"/>
        </w:rPr>
      </w:pPr>
      <w:r w:rsidRPr="00D71A4F">
        <w:rPr>
          <w:rFonts w:ascii="Arial" w:hAnsi="Arial" w:cs="Arial"/>
        </w:rPr>
        <w:t>Think about whether your privacy notices will be easier to understand if you have different privacy notices for different groups (such as patients, suppliers and your staff) or for different purposes. For further details on what to include in a privacy notice, see pages 93-101</w:t>
      </w:r>
      <w:hyperlink r:id="rId27">
        <w:r w:rsidRPr="00D71A4F">
          <w:rPr>
            <w:rFonts w:ascii="Arial" w:hAnsi="Arial" w:cs="Arial"/>
          </w:rPr>
          <w:t xml:space="preserve"> </w:t>
        </w:r>
      </w:hyperlink>
      <w:hyperlink r:id="rId28">
        <w:r w:rsidRPr="00D71A4F">
          <w:rPr>
            <w:rFonts w:ascii="Arial" w:hAnsi="Arial" w:cs="Arial"/>
            <w:color w:val="0000FF"/>
            <w:u w:val="single" w:color="0000FF"/>
          </w:rPr>
          <w:t>ICO, 04 Jun 2018, Guide to the</w:t>
        </w:r>
      </w:hyperlink>
      <w:hyperlink r:id="rId29">
        <w:r w:rsidRPr="00D71A4F">
          <w:rPr>
            <w:rFonts w:ascii="Arial" w:hAnsi="Arial" w:cs="Arial"/>
            <w:color w:val="0000FF"/>
          </w:rPr>
          <w:t xml:space="preserve"> </w:t>
        </w:r>
      </w:hyperlink>
      <w:hyperlink r:id="rId30">
        <w:r w:rsidRPr="00D71A4F">
          <w:rPr>
            <w:rFonts w:ascii="Arial" w:hAnsi="Arial" w:cs="Arial"/>
            <w:color w:val="0000FF"/>
            <w:u w:val="single" w:color="0000FF"/>
          </w:rPr>
          <w:t>General Data Protection Regulations</w:t>
        </w:r>
      </w:hyperlink>
      <w:hyperlink r:id="rId31">
        <w:r w:rsidRPr="00D71A4F">
          <w:rPr>
            <w:rFonts w:ascii="Arial" w:hAnsi="Arial" w:cs="Arial"/>
          </w:rPr>
          <w:t xml:space="preserve"> </w:t>
        </w:r>
      </w:hyperlink>
      <w:r w:rsidRPr="00D71A4F">
        <w:rPr>
          <w:rFonts w:ascii="Arial" w:hAnsi="Arial" w:cs="Arial"/>
          <w:color w:val="0000FF"/>
        </w:rPr>
        <w:t xml:space="preserve"> </w:t>
      </w:r>
    </w:p>
    <w:p w14:paraId="083E7690" w14:textId="77777777" w:rsidR="004319E4" w:rsidRPr="00D71A4F" w:rsidRDefault="004319E4">
      <w:pPr>
        <w:pStyle w:val="Heading1"/>
        <w:ind w:left="-5" w:right="0"/>
        <w:rPr>
          <w:rFonts w:ascii="Arial" w:hAnsi="Arial" w:cs="Arial"/>
        </w:rPr>
      </w:pPr>
      <w:bookmarkStart w:id="19" w:name="_Toc30768831"/>
      <w:r w:rsidRPr="00D71A4F">
        <w:rPr>
          <w:rFonts w:ascii="Arial" w:hAnsi="Arial" w:cs="Arial"/>
        </w:rPr>
        <w:t>Right to access: responding to requests</w:t>
      </w:r>
      <w:bookmarkEnd w:id="19"/>
      <w:r w:rsidRPr="00D71A4F">
        <w:rPr>
          <w:rFonts w:ascii="Arial" w:hAnsi="Arial" w:cs="Arial"/>
        </w:rPr>
        <w:t xml:space="preserve"> </w:t>
      </w:r>
    </w:p>
    <w:p w14:paraId="5F572137" w14:textId="77777777" w:rsidR="004319E4" w:rsidRPr="00D71A4F" w:rsidRDefault="004319E4">
      <w:pPr>
        <w:ind w:left="-5" w:right="11"/>
        <w:rPr>
          <w:rFonts w:ascii="Arial" w:hAnsi="Arial" w:cs="Arial"/>
        </w:rPr>
      </w:pPr>
      <w:r w:rsidRPr="00D71A4F">
        <w:rPr>
          <w:rFonts w:ascii="Arial" w:hAnsi="Arial" w:cs="Arial"/>
        </w:rPr>
        <w:t>As under previous data protection rules, a Subject Access Request (SAR)</w:t>
      </w:r>
      <w:r w:rsidRPr="00D71A4F">
        <w:rPr>
          <w:rFonts w:ascii="Arial" w:hAnsi="Arial" w:cs="Arial"/>
          <w:b/>
        </w:rPr>
        <w:t xml:space="preserve"> </w:t>
      </w:r>
      <w:r w:rsidRPr="00D71A4F">
        <w:rPr>
          <w:rFonts w:ascii="Arial" w:hAnsi="Arial" w:cs="Arial"/>
        </w:rPr>
        <w:t xml:space="preserve">allows individuals (including </w:t>
      </w:r>
      <w:proofErr w:type="spellStart"/>
      <w:r w:rsidRPr="00D71A4F">
        <w:rPr>
          <w:rFonts w:ascii="Arial" w:hAnsi="Arial" w:cs="Arial"/>
        </w:rPr>
        <w:t>expatients</w:t>
      </w:r>
      <w:proofErr w:type="spellEnd"/>
      <w:r w:rsidRPr="00D71A4F">
        <w:rPr>
          <w:rFonts w:ascii="Arial" w:hAnsi="Arial" w:cs="Arial"/>
        </w:rPr>
        <w:t xml:space="preserve"> and ex-employees) to access personal data that is held about them in any format (subject to some safeguards). </w:t>
      </w:r>
    </w:p>
    <w:p w14:paraId="2CA22FF2" w14:textId="77777777" w:rsidR="004319E4" w:rsidRPr="00D71A4F" w:rsidRDefault="004319E4">
      <w:pPr>
        <w:spacing w:after="241"/>
        <w:ind w:left="-5" w:right="11"/>
        <w:rPr>
          <w:rFonts w:ascii="Arial" w:hAnsi="Arial" w:cs="Arial"/>
        </w:rPr>
      </w:pPr>
      <w:r w:rsidRPr="00D71A4F">
        <w:rPr>
          <w:rFonts w:ascii="Arial" w:hAnsi="Arial" w:cs="Arial"/>
        </w:rPr>
        <w:t xml:space="preserve"> There are, however, two changes from previous law:  </w:t>
      </w:r>
    </w:p>
    <w:p w14:paraId="65161F25" w14:textId="77777777" w:rsidR="004319E4" w:rsidRPr="00D71A4F" w:rsidRDefault="004319E4" w:rsidP="00A4285C">
      <w:pPr>
        <w:pStyle w:val="ListParagraph"/>
        <w:numPr>
          <w:ilvl w:val="0"/>
          <w:numId w:val="37"/>
        </w:numPr>
        <w:spacing w:after="36"/>
        <w:ind w:right="11"/>
        <w:rPr>
          <w:rFonts w:ascii="Arial" w:hAnsi="Arial" w:cs="Arial"/>
        </w:rPr>
      </w:pPr>
      <w:r w:rsidRPr="00D71A4F">
        <w:rPr>
          <w:rFonts w:ascii="Arial" w:hAnsi="Arial" w:cs="Arial"/>
        </w:rPr>
        <w:t xml:space="preserve">you must respond to an SAR within </w:t>
      </w:r>
      <w:r w:rsidRPr="00D71A4F">
        <w:rPr>
          <w:rFonts w:ascii="Arial" w:hAnsi="Arial" w:cs="Arial"/>
          <w:b/>
        </w:rPr>
        <w:t>one month</w:t>
      </w:r>
      <w:r w:rsidRPr="00D71A4F">
        <w:rPr>
          <w:rFonts w:ascii="Arial" w:hAnsi="Arial" w:cs="Arial"/>
        </w:rPr>
        <w:t xml:space="preserve"> (not 40 days as under the previous Data Protection Act) </w:t>
      </w:r>
    </w:p>
    <w:p w14:paraId="1CB5AC2E" w14:textId="77777777" w:rsidR="004319E4" w:rsidRPr="00D71A4F" w:rsidRDefault="004319E4" w:rsidP="00A4285C">
      <w:pPr>
        <w:pStyle w:val="ListParagraph"/>
        <w:numPr>
          <w:ilvl w:val="0"/>
          <w:numId w:val="37"/>
        </w:numPr>
        <w:ind w:right="11"/>
        <w:rPr>
          <w:rFonts w:ascii="Arial" w:hAnsi="Arial" w:cs="Arial"/>
        </w:rPr>
      </w:pPr>
      <w:r w:rsidRPr="00D71A4F">
        <w:rPr>
          <w:rFonts w:ascii="Arial" w:hAnsi="Arial" w:cs="Arial"/>
        </w:rPr>
        <w:t xml:space="preserve">you will no longer be able to charge the person making the SAR, unless a request is manifestly unfounded or excessive, e.g. for multiple further copies of the same information. Even then, you cannot charge more than the administrative cost of providing the information.  </w:t>
      </w:r>
    </w:p>
    <w:p w14:paraId="009B1D1B" w14:textId="77777777" w:rsidR="004319E4" w:rsidRPr="00D71A4F" w:rsidRDefault="004319E4">
      <w:pPr>
        <w:spacing w:after="0"/>
        <w:ind w:left="-5" w:right="11"/>
        <w:rPr>
          <w:rFonts w:ascii="Arial" w:hAnsi="Arial" w:cs="Arial"/>
        </w:rPr>
      </w:pPr>
      <w:r w:rsidRPr="00D71A4F">
        <w:rPr>
          <w:rFonts w:ascii="Arial" w:hAnsi="Arial" w:cs="Arial"/>
        </w:rPr>
        <w:t xml:space="preserve">For example, if you have provided a copy of a prescription following a sight test and a customer subsequently asks for another copy you will be able to charge a fee that is no more than the administrative cost of providing the information. </w:t>
      </w:r>
    </w:p>
    <w:p w14:paraId="59B857B8" w14:textId="77777777" w:rsidR="004319E4" w:rsidRPr="00D71A4F" w:rsidRDefault="004319E4">
      <w:pPr>
        <w:spacing w:after="0" w:line="259" w:lineRule="auto"/>
        <w:ind w:left="0" w:firstLine="0"/>
        <w:rPr>
          <w:rFonts w:ascii="Arial" w:hAnsi="Arial" w:cs="Arial"/>
        </w:rPr>
      </w:pPr>
      <w:r w:rsidRPr="00D71A4F">
        <w:rPr>
          <w:rFonts w:ascii="Arial" w:hAnsi="Arial" w:cs="Arial"/>
        </w:rPr>
        <w:t xml:space="preserve"> </w:t>
      </w:r>
    </w:p>
    <w:p w14:paraId="100A0F8E" w14:textId="77777777" w:rsidR="004319E4" w:rsidRPr="00D71A4F" w:rsidRDefault="004319E4">
      <w:pPr>
        <w:ind w:left="-5" w:right="11"/>
        <w:rPr>
          <w:rFonts w:ascii="Arial" w:hAnsi="Arial" w:cs="Arial"/>
        </w:rPr>
      </w:pPr>
      <w:r w:rsidRPr="00D71A4F">
        <w:rPr>
          <w:rFonts w:ascii="Arial" w:hAnsi="Arial" w:cs="Arial"/>
        </w:rPr>
        <w:t xml:space="preserve">You should review your SAR procedures and plan how to manage SARs under the new rules. </w:t>
      </w:r>
    </w:p>
    <w:p w14:paraId="6D037421" w14:textId="77777777" w:rsidR="004319E4" w:rsidRPr="00D71A4F" w:rsidRDefault="004319E4">
      <w:pPr>
        <w:pStyle w:val="Heading1"/>
        <w:ind w:left="-5" w:right="0"/>
        <w:rPr>
          <w:rFonts w:ascii="Arial" w:hAnsi="Arial" w:cs="Arial"/>
        </w:rPr>
      </w:pPr>
      <w:bookmarkStart w:id="20" w:name="_Toc30768832"/>
      <w:r w:rsidRPr="00D71A4F">
        <w:rPr>
          <w:rFonts w:ascii="Arial" w:hAnsi="Arial" w:cs="Arial"/>
        </w:rPr>
        <w:t>Right to erasure: right to be forgotten</w:t>
      </w:r>
      <w:bookmarkEnd w:id="20"/>
      <w:r w:rsidRPr="00D71A4F">
        <w:rPr>
          <w:rFonts w:ascii="Arial" w:hAnsi="Arial" w:cs="Arial"/>
        </w:rPr>
        <w:t xml:space="preserve"> </w:t>
      </w:r>
    </w:p>
    <w:p w14:paraId="388B0302" w14:textId="77777777" w:rsidR="004319E4" w:rsidRPr="00D71A4F" w:rsidRDefault="004319E4">
      <w:pPr>
        <w:ind w:left="-5" w:right="11"/>
        <w:rPr>
          <w:rFonts w:ascii="Arial" w:hAnsi="Arial" w:cs="Arial"/>
        </w:rPr>
      </w:pPr>
      <w:r w:rsidRPr="00D71A4F">
        <w:rPr>
          <w:rFonts w:ascii="Arial" w:hAnsi="Arial" w:cs="Arial"/>
        </w:rPr>
        <w:t xml:space="preserve">A person can ask you to delete or remove personal data you hold on them. However this right does not apply if there is a compelling reason for its continued processing – for example if the data takes the form of health records that you have a legal duty to retain. You should not delete patient records before the usual time limit. However you should remove the patient from all mailing lists if requested. (See Annex A for further information on record keeping.) </w:t>
      </w:r>
    </w:p>
    <w:p w14:paraId="47FF48A8" w14:textId="77777777" w:rsidR="004319E4" w:rsidRPr="00D71A4F" w:rsidRDefault="004319E4">
      <w:pPr>
        <w:pStyle w:val="Heading1"/>
        <w:ind w:left="-5" w:right="0"/>
        <w:rPr>
          <w:rFonts w:ascii="Arial" w:hAnsi="Arial" w:cs="Arial"/>
        </w:rPr>
      </w:pPr>
      <w:bookmarkStart w:id="21" w:name="_Toc30768833"/>
      <w:r w:rsidRPr="00D71A4F">
        <w:rPr>
          <w:rFonts w:ascii="Arial" w:hAnsi="Arial" w:cs="Arial"/>
        </w:rPr>
        <w:t>National data opt out</w:t>
      </w:r>
      <w:bookmarkEnd w:id="21"/>
      <w:r w:rsidRPr="00D71A4F">
        <w:rPr>
          <w:rFonts w:ascii="Arial" w:hAnsi="Arial" w:cs="Arial"/>
        </w:rPr>
        <w:t xml:space="preserve"> </w:t>
      </w:r>
    </w:p>
    <w:p w14:paraId="27932236" w14:textId="77777777" w:rsidR="004319E4" w:rsidRPr="00D71A4F" w:rsidRDefault="004319E4">
      <w:pPr>
        <w:ind w:left="-5" w:right="11"/>
        <w:rPr>
          <w:rFonts w:ascii="Arial" w:hAnsi="Arial" w:cs="Arial"/>
        </w:rPr>
      </w:pPr>
      <w:r w:rsidRPr="00D71A4F">
        <w:rPr>
          <w:rFonts w:ascii="Arial" w:hAnsi="Arial" w:cs="Arial"/>
        </w:rPr>
        <w:t xml:space="preserve">On 25 May 2018 NHS England introduced a new, national data opt out. This enables patients to opt out of their confidential patient information being used for purposes other than their direct health care – such as for research or health planning purposes. </w:t>
      </w:r>
    </w:p>
    <w:p w14:paraId="5294288A" w14:textId="77777777" w:rsidR="004319E4" w:rsidRPr="00D71A4F" w:rsidRDefault="004319E4">
      <w:pPr>
        <w:ind w:left="-5" w:right="11"/>
        <w:rPr>
          <w:rFonts w:ascii="Arial" w:hAnsi="Arial" w:cs="Arial"/>
        </w:rPr>
      </w:pPr>
      <w:r w:rsidRPr="00D71A4F">
        <w:rPr>
          <w:rFonts w:ascii="Arial" w:hAnsi="Arial" w:cs="Arial"/>
        </w:rPr>
        <w:t xml:space="preserve">The National Data </w:t>
      </w:r>
      <w:proofErr w:type="spellStart"/>
      <w:r w:rsidRPr="00D71A4F">
        <w:rPr>
          <w:rFonts w:ascii="Arial" w:hAnsi="Arial" w:cs="Arial"/>
        </w:rPr>
        <w:t>Opt</w:t>
      </w:r>
      <w:proofErr w:type="spellEnd"/>
      <w:r w:rsidRPr="00D71A4F">
        <w:rPr>
          <w:rFonts w:ascii="Arial" w:hAnsi="Arial" w:cs="Arial"/>
        </w:rPr>
        <w:t xml:space="preserve"> Out is managed by the NHS – patients make their choice online at </w:t>
      </w:r>
      <w:hyperlink r:id="rId32">
        <w:r w:rsidRPr="00D71A4F">
          <w:rPr>
            <w:rFonts w:ascii="Arial" w:hAnsi="Arial" w:cs="Arial"/>
            <w:color w:val="0000FF"/>
            <w:u w:val="single" w:color="0000FF"/>
          </w:rPr>
          <w:t>nhs.uk/</w:t>
        </w:r>
        <w:proofErr w:type="spellStart"/>
        <w:r w:rsidRPr="00D71A4F">
          <w:rPr>
            <w:rFonts w:ascii="Arial" w:hAnsi="Arial" w:cs="Arial"/>
            <w:color w:val="0000FF"/>
            <w:u w:val="single" w:color="0000FF"/>
          </w:rPr>
          <w:t>your</w:t>
        </w:r>
      </w:hyperlink>
      <w:hyperlink r:id="rId33"/>
      <w:hyperlink r:id="rId34">
        <w:r w:rsidRPr="00D71A4F">
          <w:rPr>
            <w:rFonts w:ascii="Arial" w:hAnsi="Arial" w:cs="Arial"/>
            <w:color w:val="0000FF"/>
            <w:u w:val="single" w:color="0000FF"/>
          </w:rPr>
          <w:t>nhs</w:t>
        </w:r>
        <w:proofErr w:type="spellEnd"/>
      </w:hyperlink>
      <w:hyperlink r:id="rId35">
        <w:r w:rsidRPr="00D71A4F">
          <w:rPr>
            <w:rFonts w:ascii="Arial" w:hAnsi="Arial" w:cs="Arial"/>
            <w:color w:val="0000FF"/>
            <w:u w:val="single" w:color="0000FF"/>
          </w:rPr>
          <w:t>-</w:t>
        </w:r>
      </w:hyperlink>
      <w:hyperlink r:id="rId36">
        <w:r w:rsidRPr="00D71A4F">
          <w:rPr>
            <w:rFonts w:ascii="Arial" w:hAnsi="Arial" w:cs="Arial"/>
            <w:color w:val="0000FF"/>
            <w:u w:val="single" w:color="0000FF"/>
          </w:rPr>
          <w:t>data</w:t>
        </w:r>
      </w:hyperlink>
      <w:hyperlink r:id="rId37">
        <w:r w:rsidRPr="00D71A4F">
          <w:rPr>
            <w:rFonts w:ascii="Arial" w:hAnsi="Arial" w:cs="Arial"/>
            <w:color w:val="0000FF"/>
            <w:u w:val="single" w:color="0000FF"/>
          </w:rPr>
          <w:t>-</w:t>
        </w:r>
      </w:hyperlink>
      <w:hyperlink r:id="rId38">
        <w:r w:rsidRPr="00D71A4F">
          <w:rPr>
            <w:rFonts w:ascii="Arial" w:hAnsi="Arial" w:cs="Arial"/>
            <w:color w:val="0000FF"/>
            <w:u w:val="single" w:color="0000FF"/>
          </w:rPr>
          <w:t>matters</w:t>
        </w:r>
      </w:hyperlink>
      <w:hyperlink r:id="rId39">
        <w:r w:rsidRPr="00D71A4F">
          <w:rPr>
            <w:rFonts w:ascii="Arial" w:hAnsi="Arial" w:cs="Arial"/>
          </w:rPr>
          <w:t>,</w:t>
        </w:r>
      </w:hyperlink>
      <w:r w:rsidRPr="00D71A4F">
        <w:rPr>
          <w:rFonts w:ascii="Arial" w:hAnsi="Arial" w:cs="Arial"/>
        </w:rPr>
        <w:t xml:space="preserve"> or they can call 0300 303 6578.  </w:t>
      </w:r>
    </w:p>
    <w:p w14:paraId="18E41572" w14:textId="77777777" w:rsidR="004319E4" w:rsidRPr="00D71A4F" w:rsidRDefault="004319E4">
      <w:pPr>
        <w:ind w:left="-5" w:right="11"/>
        <w:rPr>
          <w:rFonts w:ascii="Arial" w:hAnsi="Arial" w:cs="Arial"/>
        </w:rPr>
      </w:pPr>
      <w:r w:rsidRPr="00D71A4F">
        <w:rPr>
          <w:rFonts w:ascii="Arial" w:hAnsi="Arial" w:cs="Arial"/>
        </w:rPr>
        <w:t xml:space="preserve">The national data opt out will only affect an optical practice if you are planning on using confidential patient information for your own research or planning purposes, in which case you should contact the NHS to establish whether the opt out applies to any of the confidential patient information you plan to use. The opt out does not apply, however, if you have sought explicit consent for the activity. </w:t>
      </w:r>
    </w:p>
    <w:p w14:paraId="01176BB1" w14:textId="77777777" w:rsidR="004319E4" w:rsidRPr="00D71A4F" w:rsidRDefault="004319E4">
      <w:pPr>
        <w:tabs>
          <w:tab w:val="center" w:pos="3276"/>
        </w:tabs>
        <w:spacing w:after="209" w:line="267" w:lineRule="auto"/>
        <w:ind w:left="-15" w:firstLine="0"/>
        <w:rPr>
          <w:rFonts w:ascii="Arial" w:hAnsi="Arial" w:cs="Arial"/>
        </w:rPr>
      </w:pPr>
      <w:r w:rsidRPr="00D71A4F">
        <w:rPr>
          <w:rFonts w:ascii="Arial" w:hAnsi="Arial" w:cs="Arial"/>
          <w:b/>
        </w:rPr>
        <w:t xml:space="preserve">2.7  </w:t>
      </w:r>
      <w:r w:rsidRPr="00D71A4F">
        <w:rPr>
          <w:rFonts w:ascii="Arial" w:hAnsi="Arial" w:cs="Arial"/>
          <w:b/>
        </w:rPr>
        <w:tab/>
        <w:t xml:space="preserve">Data breaches – prevention and reporting requirements  </w:t>
      </w:r>
    </w:p>
    <w:p w14:paraId="7A8B1E65" w14:textId="77777777" w:rsidR="004319E4" w:rsidRPr="00D71A4F" w:rsidRDefault="004319E4">
      <w:pPr>
        <w:pStyle w:val="Heading1"/>
        <w:ind w:left="-5" w:right="0"/>
        <w:rPr>
          <w:rFonts w:ascii="Arial" w:hAnsi="Arial" w:cs="Arial"/>
        </w:rPr>
      </w:pPr>
      <w:bookmarkStart w:id="22" w:name="_Toc30768834"/>
      <w:r w:rsidRPr="00D71A4F">
        <w:rPr>
          <w:rFonts w:ascii="Arial" w:hAnsi="Arial" w:cs="Arial"/>
        </w:rPr>
        <w:t>Preventing a data breach</w:t>
      </w:r>
      <w:bookmarkEnd w:id="22"/>
      <w:r w:rsidRPr="00D71A4F">
        <w:rPr>
          <w:rFonts w:ascii="Arial" w:hAnsi="Arial" w:cs="Arial"/>
        </w:rPr>
        <w:t xml:space="preserve"> </w:t>
      </w:r>
    </w:p>
    <w:p w14:paraId="4619F244" w14:textId="77777777" w:rsidR="007176C1" w:rsidRPr="00D71A4F" w:rsidRDefault="004319E4">
      <w:pPr>
        <w:ind w:left="-5" w:right="11"/>
        <w:rPr>
          <w:rFonts w:ascii="Arial" w:hAnsi="Arial" w:cs="Arial"/>
        </w:rPr>
      </w:pPr>
      <w:r w:rsidRPr="00D71A4F">
        <w:rPr>
          <w:rFonts w:ascii="Arial" w:hAnsi="Arial" w:cs="Arial"/>
        </w:rPr>
        <w:t xml:space="preserve">The ICO has helpfully clarified that that “You are expected to put into place comprehensive </w:t>
      </w:r>
      <w:r w:rsidRPr="00D71A4F">
        <w:rPr>
          <w:rFonts w:ascii="Arial" w:hAnsi="Arial" w:cs="Arial"/>
          <w:b/>
        </w:rPr>
        <w:t>but proportionate</w:t>
      </w:r>
      <w:r w:rsidRPr="00D71A4F">
        <w:rPr>
          <w:rFonts w:ascii="Arial" w:hAnsi="Arial" w:cs="Arial"/>
        </w:rPr>
        <w:t xml:space="preserve"> governance measures”</w:t>
      </w:r>
      <w:r w:rsidRPr="00D71A4F">
        <w:rPr>
          <w:rFonts w:ascii="Arial" w:hAnsi="Arial" w:cs="Arial"/>
          <w:vertAlign w:val="superscript"/>
        </w:rPr>
        <w:endnoteReference w:id="5"/>
      </w:r>
      <w:r w:rsidRPr="00D71A4F">
        <w:rPr>
          <w:rFonts w:ascii="Arial" w:hAnsi="Arial" w:cs="Arial"/>
        </w:rPr>
        <w:t xml:space="preserve"> </w:t>
      </w:r>
      <w:r w:rsidR="008D7D89" w:rsidRPr="00D71A4F">
        <w:rPr>
          <w:rFonts w:ascii="Arial" w:hAnsi="Arial" w:cs="Arial"/>
        </w:rPr>
        <w:t xml:space="preserve">(our emphasis). This means small companies will not be expected to invest large sums in state-of-the-art defence systems.  </w:t>
      </w:r>
    </w:p>
    <w:p w14:paraId="6C6FFD88" w14:textId="77777777" w:rsidR="007176C1" w:rsidRPr="00D71A4F" w:rsidRDefault="008D7D89">
      <w:pPr>
        <w:ind w:left="-5" w:right="11"/>
        <w:rPr>
          <w:rFonts w:ascii="Arial" w:hAnsi="Arial" w:cs="Arial"/>
        </w:rPr>
      </w:pPr>
      <w:r w:rsidRPr="00D71A4F">
        <w:rPr>
          <w:rFonts w:ascii="Arial" w:hAnsi="Arial" w:cs="Arial"/>
        </w:rPr>
        <w:t xml:space="preserve">Ensuring software and anti-virus software is up to date, computers are protected with strong passwords etc. should be sufficient in most cases.  </w:t>
      </w:r>
    </w:p>
    <w:p w14:paraId="1F5E3AA7" w14:textId="77777777" w:rsidR="007176C1" w:rsidRPr="00D71A4F" w:rsidRDefault="008D7D89">
      <w:pPr>
        <w:ind w:left="-5" w:right="11"/>
        <w:rPr>
          <w:rFonts w:ascii="Arial" w:hAnsi="Arial" w:cs="Arial"/>
        </w:rPr>
      </w:pPr>
      <w:r w:rsidRPr="00D71A4F">
        <w:rPr>
          <w:rFonts w:ascii="Arial" w:hAnsi="Arial" w:cs="Arial"/>
        </w:rPr>
        <w:t xml:space="preserve">The new law does increase potential sanctions for serious data breaches - up to €20 million, or 4% of total worldwide annual turnover, whichever is higher.  However, as noted previously, the ICO has also been clear that it will focus on supporting compliance rather than on imposing fines, this includes providing a </w:t>
      </w:r>
      <w:hyperlink r:id="rId40">
        <w:r w:rsidRPr="00D71A4F">
          <w:rPr>
            <w:rFonts w:ascii="Arial" w:hAnsi="Arial" w:cs="Arial"/>
            <w:color w:val="0000FF"/>
            <w:u w:val="single" w:color="0000FF"/>
          </w:rPr>
          <w:t>helpline</w:t>
        </w:r>
      </w:hyperlink>
      <w:hyperlink r:id="rId41">
        <w:r w:rsidRPr="00D71A4F">
          <w:rPr>
            <w:rFonts w:ascii="Arial" w:hAnsi="Arial" w:cs="Arial"/>
          </w:rPr>
          <w:t xml:space="preserve"> </w:t>
        </w:r>
      </w:hyperlink>
      <w:r w:rsidRPr="00D71A4F">
        <w:rPr>
          <w:rFonts w:ascii="Arial" w:hAnsi="Arial" w:cs="Arial"/>
        </w:rPr>
        <w:t xml:space="preserve">service for small businesses.  </w:t>
      </w:r>
    </w:p>
    <w:p w14:paraId="1A7679E3" w14:textId="348E03DE" w:rsidR="000A0439" w:rsidRPr="00D71A4F" w:rsidRDefault="008D7D89" w:rsidP="00540A44">
      <w:pPr>
        <w:ind w:left="-5" w:right="11"/>
        <w:rPr>
          <w:rFonts w:ascii="Arial" w:hAnsi="Arial" w:cs="Arial"/>
        </w:rPr>
      </w:pPr>
      <w:r w:rsidRPr="00D71A4F">
        <w:rPr>
          <w:rFonts w:ascii="Arial" w:hAnsi="Arial" w:cs="Arial"/>
        </w:rPr>
        <w:t xml:space="preserve">As with most systems, the main risk is that due to human error; it is therefore important that all employees understand company policies on data protection and that they are appropriately trained.  Demonstrating that reasonable steps have been taken to protect data in these ways will reduce the risk of reputational damage and financial sanctions that may result from any potential data breach. </w:t>
      </w:r>
    </w:p>
    <w:tbl>
      <w:tblPr>
        <w:tblStyle w:val="TableGrid0"/>
        <w:tblW w:w="0" w:type="auto"/>
        <w:tblInd w:w="-5" w:type="dxa"/>
        <w:tblLook w:val="04A0" w:firstRow="1" w:lastRow="0" w:firstColumn="1" w:lastColumn="0" w:noHBand="0" w:noVBand="1"/>
      </w:tblPr>
      <w:tblGrid>
        <w:gridCol w:w="9354"/>
      </w:tblGrid>
      <w:tr w:rsidR="007476E2" w:rsidRPr="00D71A4F" w14:paraId="3F5F8387" w14:textId="77777777" w:rsidTr="007476E2">
        <w:tc>
          <w:tcPr>
            <w:tcW w:w="9354" w:type="dxa"/>
          </w:tcPr>
          <w:p w14:paraId="02ABA3F6" w14:textId="77777777" w:rsidR="007476E2" w:rsidRPr="00D71A4F" w:rsidRDefault="007476E2" w:rsidP="007476E2">
            <w:pPr>
              <w:spacing w:after="0"/>
              <w:ind w:left="0" w:right="11" w:firstLine="0"/>
              <w:contextualSpacing/>
              <w:rPr>
                <w:rFonts w:ascii="Arial" w:hAnsi="Arial" w:cs="Arial"/>
              </w:rPr>
            </w:pPr>
          </w:p>
          <w:p w14:paraId="6B536622" w14:textId="77777777" w:rsidR="007476E2" w:rsidRPr="00D71A4F" w:rsidRDefault="007476E2" w:rsidP="007476E2">
            <w:pPr>
              <w:spacing w:after="0"/>
              <w:ind w:left="0" w:right="11" w:firstLine="0"/>
              <w:contextualSpacing/>
              <w:rPr>
                <w:rFonts w:ascii="Arial" w:hAnsi="Arial" w:cs="Arial"/>
              </w:rPr>
            </w:pPr>
            <w:r w:rsidRPr="00D71A4F">
              <w:rPr>
                <w:rFonts w:ascii="Arial" w:hAnsi="Arial" w:cs="Arial"/>
              </w:rPr>
              <w:t>Double-check now that reasonable procedures are in place to protect data and ensure appropriate action is taken if a breach occurs.  For optical practices, as a minimum check that you are compliant with GOS contract sections A10.1, 10.2, 10.4 and 10.5 of Quality in Optometry.</w:t>
            </w:r>
          </w:p>
          <w:p w14:paraId="70EFECE2" w14:textId="73D91DA6" w:rsidR="007476E2" w:rsidRPr="00D71A4F" w:rsidRDefault="007476E2" w:rsidP="007476E2">
            <w:pPr>
              <w:spacing w:after="0"/>
              <w:ind w:left="0" w:right="11" w:firstLine="0"/>
              <w:contextualSpacing/>
              <w:rPr>
                <w:rFonts w:ascii="Arial" w:hAnsi="Arial" w:cs="Arial"/>
              </w:rPr>
            </w:pPr>
          </w:p>
        </w:tc>
      </w:tr>
    </w:tbl>
    <w:p w14:paraId="25326EE0" w14:textId="25A15A36" w:rsidR="007176C1" w:rsidRPr="000A0439" w:rsidRDefault="007176C1">
      <w:pPr>
        <w:spacing w:after="218" w:line="259" w:lineRule="auto"/>
        <w:ind w:left="0" w:firstLine="0"/>
        <w:rPr>
          <w:rFonts w:ascii="Arial" w:hAnsi="Arial" w:cs="Arial"/>
          <w:sz w:val="11"/>
          <w:szCs w:val="11"/>
        </w:rPr>
      </w:pPr>
    </w:p>
    <w:p w14:paraId="1AD456E0" w14:textId="77777777" w:rsidR="007176C1" w:rsidRPr="00D71A4F" w:rsidRDefault="008D7D89">
      <w:pPr>
        <w:pStyle w:val="Heading1"/>
        <w:ind w:left="-5" w:right="0"/>
        <w:rPr>
          <w:rFonts w:ascii="Arial" w:hAnsi="Arial" w:cs="Arial"/>
        </w:rPr>
      </w:pPr>
      <w:bookmarkStart w:id="23" w:name="_Toc30768835"/>
      <w:r w:rsidRPr="00D71A4F">
        <w:rPr>
          <w:rFonts w:ascii="Arial" w:hAnsi="Arial" w:cs="Arial"/>
        </w:rPr>
        <w:t>Action in the event of a data breach</w:t>
      </w:r>
      <w:bookmarkEnd w:id="23"/>
      <w:r w:rsidRPr="00D71A4F">
        <w:rPr>
          <w:rFonts w:ascii="Arial" w:hAnsi="Arial" w:cs="Arial"/>
        </w:rPr>
        <w:t xml:space="preserve">  </w:t>
      </w:r>
    </w:p>
    <w:p w14:paraId="5F159E7F" w14:textId="77777777" w:rsidR="007176C1" w:rsidRPr="00D71A4F" w:rsidRDefault="008D7D89">
      <w:pPr>
        <w:ind w:left="-5" w:right="11"/>
        <w:rPr>
          <w:rFonts w:ascii="Arial" w:hAnsi="Arial" w:cs="Arial"/>
        </w:rPr>
      </w:pPr>
      <w:r w:rsidRPr="00D71A4F">
        <w:rPr>
          <w:rFonts w:ascii="Arial" w:hAnsi="Arial" w:cs="Arial"/>
        </w:rPr>
        <w:t xml:space="preserve">A personal data breach is any breach of security leading to the destruction, loss, alteration, unauthorised disclosure of, or access to, personal data. You do not have to report all breaches, but should learn from every event – e.g. near misses – in order to reduce future risks. </w:t>
      </w:r>
    </w:p>
    <w:p w14:paraId="5B6E6725" w14:textId="77777777" w:rsidR="007176C1" w:rsidRPr="00D71A4F" w:rsidRDefault="008D7D89">
      <w:pPr>
        <w:ind w:left="-5" w:right="11"/>
        <w:rPr>
          <w:rFonts w:ascii="Arial" w:hAnsi="Arial" w:cs="Arial"/>
        </w:rPr>
      </w:pPr>
      <w:r w:rsidRPr="00D71A4F">
        <w:rPr>
          <w:rFonts w:ascii="Arial" w:hAnsi="Arial" w:cs="Arial"/>
        </w:rPr>
        <w:t xml:space="preserve">You have to report a data breach to the ICO where it is likely to result in a risk to the rights and freedoms of individuals, which if left unaddressed could cause a ‘significant detrimental effect’. This includes breaches resulting in discrimination, damage to reputation, financial loss, loss of confidentiality or any other significant economic or social disadvantage. </w:t>
      </w:r>
    </w:p>
    <w:p w14:paraId="3577DDB2" w14:textId="77777777" w:rsidR="007176C1" w:rsidRPr="00D71A4F" w:rsidRDefault="008D7D89">
      <w:pPr>
        <w:ind w:left="-5" w:right="11"/>
        <w:rPr>
          <w:rFonts w:ascii="Arial" w:hAnsi="Arial" w:cs="Arial"/>
        </w:rPr>
      </w:pPr>
      <w:r w:rsidRPr="00D71A4F">
        <w:rPr>
          <w:rFonts w:ascii="Arial" w:hAnsi="Arial" w:cs="Arial"/>
        </w:rPr>
        <w:t xml:space="preserve">In short, as now, the definition will apply to any inappropriate or unauthorised release or disclosure of patient or staff data.  </w:t>
      </w:r>
    </w:p>
    <w:p w14:paraId="5280B4AE" w14:textId="77777777" w:rsidR="007176C1" w:rsidRPr="00D71A4F" w:rsidRDefault="008D7D89">
      <w:pPr>
        <w:ind w:left="-5" w:right="11"/>
        <w:rPr>
          <w:rFonts w:ascii="Arial" w:hAnsi="Arial" w:cs="Arial"/>
        </w:rPr>
      </w:pPr>
      <w:r w:rsidRPr="00D71A4F">
        <w:rPr>
          <w:rFonts w:ascii="Arial" w:hAnsi="Arial" w:cs="Arial"/>
        </w:rPr>
        <w:t xml:space="preserve">Data controllers will need to look at the facts and circumstances of each breach to decide what to do.  </w:t>
      </w:r>
    </w:p>
    <w:p w14:paraId="2EA047D6" w14:textId="77777777" w:rsidR="007176C1" w:rsidRPr="00D71A4F" w:rsidRDefault="008D7D89">
      <w:pPr>
        <w:ind w:left="-5" w:right="11"/>
        <w:rPr>
          <w:rFonts w:ascii="Arial" w:hAnsi="Arial" w:cs="Arial"/>
        </w:rPr>
      </w:pPr>
      <w:r w:rsidRPr="00D71A4F">
        <w:rPr>
          <w:rFonts w:ascii="Arial" w:hAnsi="Arial" w:cs="Arial"/>
        </w:rPr>
        <w:t xml:space="preserve">Your Optical Confederation representative body will be able to advise in individual cases. </w:t>
      </w:r>
    </w:p>
    <w:p w14:paraId="55F0A14D" w14:textId="4E2EBD20" w:rsidR="007176C1" w:rsidRDefault="008D7D89">
      <w:pPr>
        <w:spacing w:after="0" w:line="267" w:lineRule="auto"/>
        <w:ind w:left="-5"/>
        <w:rPr>
          <w:rFonts w:ascii="Arial" w:hAnsi="Arial" w:cs="Arial"/>
          <w:b/>
        </w:rPr>
      </w:pPr>
      <w:r w:rsidRPr="00D71A4F">
        <w:rPr>
          <w:rFonts w:ascii="Arial" w:hAnsi="Arial" w:cs="Arial"/>
        </w:rPr>
        <w:t>In</w:t>
      </w:r>
      <w:r w:rsidRPr="00D71A4F">
        <w:rPr>
          <w:rFonts w:ascii="Arial" w:hAnsi="Arial" w:cs="Arial"/>
          <w:b/>
        </w:rPr>
        <w:t xml:space="preserve"> the event of a serious breach</w:t>
      </w:r>
      <w:r w:rsidRPr="00D71A4F">
        <w:rPr>
          <w:rFonts w:ascii="Arial" w:hAnsi="Arial" w:cs="Arial"/>
        </w:rPr>
        <w:t xml:space="preserve"> the ICO must be notified within </w:t>
      </w:r>
      <w:r w:rsidRPr="00D71A4F">
        <w:rPr>
          <w:rFonts w:ascii="Arial" w:hAnsi="Arial" w:cs="Arial"/>
          <w:b/>
        </w:rPr>
        <w:t xml:space="preserve">72 hours without undue delay.  </w:t>
      </w:r>
    </w:p>
    <w:p w14:paraId="721A4F49" w14:textId="77777777" w:rsidR="000A0439" w:rsidRPr="000A0439" w:rsidRDefault="000A0439">
      <w:pPr>
        <w:spacing w:after="0" w:line="267" w:lineRule="auto"/>
        <w:ind w:left="-5"/>
        <w:rPr>
          <w:rFonts w:ascii="Arial" w:hAnsi="Arial" w:cs="Arial"/>
          <w:sz w:val="16"/>
          <w:szCs w:val="16"/>
        </w:rPr>
      </w:pPr>
    </w:p>
    <w:tbl>
      <w:tblPr>
        <w:tblStyle w:val="TableGrid"/>
        <w:tblW w:w="9499" w:type="dxa"/>
        <w:tblInd w:w="-142" w:type="dxa"/>
        <w:tblCellMar>
          <w:top w:w="48" w:type="dxa"/>
          <w:left w:w="108" w:type="dxa"/>
          <w:right w:w="115" w:type="dxa"/>
        </w:tblCellMar>
        <w:tblLook w:val="04A0" w:firstRow="1" w:lastRow="0" w:firstColumn="1" w:lastColumn="0" w:noHBand="0" w:noVBand="1"/>
      </w:tblPr>
      <w:tblGrid>
        <w:gridCol w:w="9499"/>
      </w:tblGrid>
      <w:tr w:rsidR="007176C1" w:rsidRPr="00D71A4F" w14:paraId="1239618D" w14:textId="77777777">
        <w:trPr>
          <w:trHeight w:val="1937"/>
        </w:trPr>
        <w:tc>
          <w:tcPr>
            <w:tcW w:w="9499" w:type="dxa"/>
            <w:tcBorders>
              <w:top w:val="single" w:sz="4" w:space="0" w:color="000000"/>
              <w:left w:val="single" w:sz="4" w:space="0" w:color="000000"/>
              <w:bottom w:val="single" w:sz="4" w:space="0" w:color="000000"/>
              <w:right w:val="single" w:sz="4" w:space="0" w:color="000000"/>
            </w:tcBorders>
          </w:tcPr>
          <w:p w14:paraId="0B68E888" w14:textId="77777777" w:rsidR="007176C1" w:rsidRPr="00D71A4F" w:rsidRDefault="008D7D89">
            <w:pPr>
              <w:spacing w:after="0" w:line="259" w:lineRule="auto"/>
              <w:ind w:left="0" w:firstLine="0"/>
              <w:rPr>
                <w:rFonts w:ascii="Arial" w:hAnsi="Arial" w:cs="Arial"/>
              </w:rPr>
            </w:pPr>
            <w:r w:rsidRPr="00D71A4F">
              <w:rPr>
                <w:rFonts w:ascii="Arial" w:hAnsi="Arial" w:cs="Arial"/>
              </w:rPr>
              <w:t xml:space="preserve"> </w:t>
            </w:r>
          </w:p>
          <w:p w14:paraId="52AD6FEA" w14:textId="77777777" w:rsidR="007176C1" w:rsidRPr="00D71A4F" w:rsidRDefault="008D7D89">
            <w:pPr>
              <w:spacing w:after="24" w:line="259" w:lineRule="auto"/>
              <w:ind w:left="0" w:firstLine="0"/>
              <w:rPr>
                <w:rFonts w:ascii="Arial" w:hAnsi="Arial" w:cs="Arial"/>
              </w:rPr>
            </w:pPr>
            <w:r w:rsidRPr="00D71A4F">
              <w:rPr>
                <w:rFonts w:ascii="Arial" w:hAnsi="Arial" w:cs="Arial"/>
              </w:rPr>
              <w:t xml:space="preserve">A breach report should include the following information:  </w:t>
            </w:r>
          </w:p>
          <w:p w14:paraId="62AB3AEC" w14:textId="77777777" w:rsidR="007176C1" w:rsidRPr="00D71A4F" w:rsidRDefault="008D7D89" w:rsidP="007476E2">
            <w:pPr>
              <w:pStyle w:val="ListParagraph"/>
              <w:numPr>
                <w:ilvl w:val="0"/>
                <w:numId w:val="38"/>
              </w:numPr>
              <w:spacing w:after="0" w:line="259" w:lineRule="auto"/>
              <w:rPr>
                <w:rFonts w:ascii="Arial" w:hAnsi="Arial" w:cs="Arial"/>
              </w:rPr>
            </w:pPr>
            <w:r w:rsidRPr="00D71A4F">
              <w:rPr>
                <w:rFonts w:ascii="Arial" w:hAnsi="Arial" w:cs="Arial"/>
              </w:rPr>
              <w:t xml:space="preserve">nature of the breach  </w:t>
            </w:r>
          </w:p>
          <w:p w14:paraId="5E00648C" w14:textId="77777777" w:rsidR="007176C1" w:rsidRPr="00D71A4F" w:rsidRDefault="008D7D89" w:rsidP="007476E2">
            <w:pPr>
              <w:pStyle w:val="ListParagraph"/>
              <w:numPr>
                <w:ilvl w:val="0"/>
                <w:numId w:val="38"/>
              </w:numPr>
              <w:spacing w:after="0" w:line="259" w:lineRule="auto"/>
              <w:rPr>
                <w:rFonts w:ascii="Arial" w:hAnsi="Arial" w:cs="Arial"/>
              </w:rPr>
            </w:pPr>
            <w:r w:rsidRPr="00D71A4F">
              <w:rPr>
                <w:rFonts w:ascii="Arial" w:hAnsi="Arial" w:cs="Arial"/>
              </w:rPr>
              <w:t xml:space="preserve">numbers of individuals affected </w:t>
            </w:r>
          </w:p>
          <w:p w14:paraId="501E2F84" w14:textId="77777777" w:rsidR="007176C1" w:rsidRPr="00D71A4F" w:rsidRDefault="008D7D89" w:rsidP="007476E2">
            <w:pPr>
              <w:pStyle w:val="ListParagraph"/>
              <w:numPr>
                <w:ilvl w:val="0"/>
                <w:numId w:val="38"/>
              </w:numPr>
              <w:spacing w:after="0" w:line="259" w:lineRule="auto"/>
              <w:rPr>
                <w:rFonts w:ascii="Arial" w:hAnsi="Arial" w:cs="Arial"/>
              </w:rPr>
            </w:pPr>
            <w:r w:rsidRPr="00D71A4F">
              <w:rPr>
                <w:rFonts w:ascii="Arial" w:hAnsi="Arial" w:cs="Arial"/>
              </w:rPr>
              <w:t xml:space="preserve">actions being undertaken to rectify the breach  </w:t>
            </w:r>
          </w:p>
          <w:p w14:paraId="3111C0EF" w14:textId="77777777" w:rsidR="007176C1" w:rsidRPr="00D71A4F" w:rsidRDefault="008D7D89" w:rsidP="007476E2">
            <w:pPr>
              <w:pStyle w:val="ListParagraph"/>
              <w:numPr>
                <w:ilvl w:val="0"/>
                <w:numId w:val="38"/>
              </w:numPr>
              <w:spacing w:after="0" w:line="259" w:lineRule="auto"/>
              <w:rPr>
                <w:rFonts w:ascii="Arial" w:hAnsi="Arial" w:cs="Arial"/>
              </w:rPr>
            </w:pPr>
            <w:r w:rsidRPr="00D71A4F">
              <w:rPr>
                <w:rFonts w:ascii="Arial" w:hAnsi="Arial" w:cs="Arial"/>
              </w:rPr>
              <w:t xml:space="preserve">data controller’s or reporter’s name and contact details </w:t>
            </w:r>
          </w:p>
          <w:p w14:paraId="11234C78" w14:textId="77777777" w:rsidR="007176C1" w:rsidRPr="00D71A4F" w:rsidRDefault="008D7D89">
            <w:pPr>
              <w:spacing w:after="0" w:line="259" w:lineRule="auto"/>
              <w:ind w:left="0" w:firstLine="0"/>
              <w:rPr>
                <w:rFonts w:ascii="Arial" w:hAnsi="Arial" w:cs="Arial"/>
              </w:rPr>
            </w:pPr>
            <w:r w:rsidRPr="00D71A4F">
              <w:rPr>
                <w:rFonts w:ascii="Arial" w:hAnsi="Arial" w:cs="Arial"/>
              </w:rPr>
              <w:t xml:space="preserve"> </w:t>
            </w:r>
          </w:p>
        </w:tc>
      </w:tr>
    </w:tbl>
    <w:p w14:paraId="6B32771C" w14:textId="77777777" w:rsidR="000A0439" w:rsidRDefault="000A0439" w:rsidP="000A0439">
      <w:pPr>
        <w:ind w:left="0" w:right="11" w:firstLine="0"/>
        <w:rPr>
          <w:rFonts w:ascii="Arial" w:hAnsi="Arial" w:cs="Arial"/>
        </w:rPr>
      </w:pPr>
    </w:p>
    <w:p w14:paraId="082EDF36" w14:textId="46F2C9BF" w:rsidR="007176C1" w:rsidRPr="00D71A4F" w:rsidRDefault="008D7D89" w:rsidP="000A0439">
      <w:pPr>
        <w:ind w:left="0" w:right="11" w:firstLine="0"/>
        <w:rPr>
          <w:rFonts w:ascii="Arial" w:hAnsi="Arial" w:cs="Arial"/>
        </w:rPr>
      </w:pPr>
      <w:r w:rsidRPr="00D71A4F">
        <w:rPr>
          <w:rFonts w:ascii="Arial" w:hAnsi="Arial" w:cs="Arial"/>
        </w:rPr>
        <w:t xml:space="preserve">Details of how to notify the ICO of a breach can be found here: </w:t>
      </w:r>
      <w:hyperlink r:id="rId42">
        <w:r w:rsidRPr="00D71A4F">
          <w:rPr>
            <w:rFonts w:ascii="Arial" w:hAnsi="Arial" w:cs="Arial"/>
            <w:color w:val="0000FF"/>
            <w:u w:val="single" w:color="0000FF"/>
          </w:rPr>
          <w:t>https://ico.org.uk/for</w:t>
        </w:r>
      </w:hyperlink>
      <w:hyperlink r:id="rId43"/>
      <w:hyperlink r:id="rId44">
        <w:r w:rsidRPr="00D71A4F">
          <w:rPr>
            <w:rFonts w:ascii="Arial" w:hAnsi="Arial" w:cs="Arial"/>
            <w:color w:val="0000FF"/>
            <w:u w:val="single" w:color="0000FF"/>
          </w:rPr>
          <w:t>organisations/report</w:t>
        </w:r>
      </w:hyperlink>
      <w:hyperlink r:id="rId45">
        <w:r w:rsidRPr="00D71A4F">
          <w:rPr>
            <w:rFonts w:ascii="Arial" w:hAnsi="Arial" w:cs="Arial"/>
            <w:color w:val="0000FF"/>
            <w:u w:val="single" w:color="0000FF"/>
          </w:rPr>
          <w:t>-</w:t>
        </w:r>
      </w:hyperlink>
      <w:hyperlink r:id="rId46">
        <w:r w:rsidRPr="00D71A4F">
          <w:rPr>
            <w:rFonts w:ascii="Arial" w:hAnsi="Arial" w:cs="Arial"/>
            <w:color w:val="0000FF"/>
            <w:u w:val="single" w:color="0000FF"/>
          </w:rPr>
          <w:t>a</w:t>
        </w:r>
      </w:hyperlink>
      <w:hyperlink r:id="rId47">
        <w:r w:rsidRPr="00D71A4F">
          <w:rPr>
            <w:rFonts w:ascii="Arial" w:hAnsi="Arial" w:cs="Arial"/>
            <w:color w:val="0000FF"/>
            <w:u w:val="single" w:color="0000FF"/>
          </w:rPr>
          <w:t>-</w:t>
        </w:r>
      </w:hyperlink>
      <w:hyperlink r:id="rId48">
        <w:r w:rsidRPr="00D71A4F">
          <w:rPr>
            <w:rFonts w:ascii="Arial" w:hAnsi="Arial" w:cs="Arial"/>
            <w:color w:val="0000FF"/>
            <w:u w:val="single" w:color="0000FF"/>
          </w:rPr>
          <w:t>breach/</w:t>
        </w:r>
      </w:hyperlink>
      <w:hyperlink r:id="rId49">
        <w:r w:rsidRPr="00D71A4F">
          <w:rPr>
            <w:rFonts w:ascii="Arial" w:hAnsi="Arial" w:cs="Arial"/>
          </w:rPr>
          <w:t xml:space="preserve"> </w:t>
        </w:r>
      </w:hyperlink>
      <w:r w:rsidRPr="00D71A4F">
        <w:rPr>
          <w:rFonts w:ascii="Arial" w:hAnsi="Arial" w:cs="Arial"/>
        </w:rPr>
        <w:t xml:space="preserve"> </w:t>
      </w:r>
    </w:p>
    <w:p w14:paraId="6E0B3917" w14:textId="3D24C810" w:rsidR="007176C1" w:rsidRPr="00D71A4F" w:rsidRDefault="008D7D89" w:rsidP="007476E2">
      <w:pPr>
        <w:spacing w:after="218" w:line="259" w:lineRule="auto"/>
        <w:ind w:left="0" w:firstLine="0"/>
        <w:rPr>
          <w:rFonts w:ascii="Arial" w:hAnsi="Arial" w:cs="Arial"/>
        </w:rPr>
      </w:pPr>
      <w:r w:rsidRPr="00D71A4F">
        <w:rPr>
          <w:rFonts w:ascii="Arial" w:hAnsi="Arial" w:cs="Arial"/>
          <w:b/>
        </w:rPr>
        <w:t xml:space="preserve"> </w:t>
      </w:r>
    </w:p>
    <w:p w14:paraId="3F9A149A" w14:textId="77777777" w:rsidR="007176C1" w:rsidRPr="00D71A4F" w:rsidRDefault="008D7D89">
      <w:pPr>
        <w:pStyle w:val="Heading1"/>
        <w:ind w:left="-5" w:right="0"/>
        <w:rPr>
          <w:rFonts w:ascii="Arial" w:hAnsi="Arial" w:cs="Arial"/>
        </w:rPr>
      </w:pPr>
      <w:bookmarkStart w:id="24" w:name="_Toc30768836"/>
      <w:r w:rsidRPr="00D71A4F">
        <w:rPr>
          <w:rFonts w:ascii="Arial" w:hAnsi="Arial" w:cs="Arial"/>
        </w:rPr>
        <w:t>Informing individuals affected</w:t>
      </w:r>
      <w:bookmarkEnd w:id="24"/>
      <w:r w:rsidRPr="00D71A4F">
        <w:rPr>
          <w:rFonts w:ascii="Arial" w:hAnsi="Arial" w:cs="Arial"/>
        </w:rPr>
        <w:t xml:space="preserve">  </w:t>
      </w:r>
    </w:p>
    <w:p w14:paraId="15152B7E" w14:textId="77777777" w:rsidR="007176C1" w:rsidRPr="00D71A4F" w:rsidRDefault="008D7D89">
      <w:pPr>
        <w:ind w:left="-5" w:right="11"/>
        <w:rPr>
          <w:rFonts w:ascii="Arial" w:hAnsi="Arial" w:cs="Arial"/>
        </w:rPr>
      </w:pPr>
      <w:r w:rsidRPr="00D71A4F">
        <w:rPr>
          <w:rFonts w:ascii="Arial" w:hAnsi="Arial" w:cs="Arial"/>
        </w:rPr>
        <w:t>Individuals affected must also be notified</w:t>
      </w:r>
      <w:r w:rsidRPr="00D71A4F">
        <w:rPr>
          <w:rFonts w:ascii="Arial" w:hAnsi="Arial" w:cs="Arial"/>
          <w:b/>
        </w:rPr>
        <w:t xml:space="preserve"> </w:t>
      </w:r>
      <w:r w:rsidRPr="00D71A4F">
        <w:rPr>
          <w:rFonts w:ascii="Arial" w:hAnsi="Arial" w:cs="Arial"/>
        </w:rPr>
        <w:t xml:space="preserve">if the breach is likely to result in a ‘high risk’ to their individual freedoms.  More details can be found on the </w:t>
      </w:r>
      <w:hyperlink r:id="rId50">
        <w:r w:rsidRPr="00D71A4F">
          <w:rPr>
            <w:rFonts w:ascii="Arial" w:hAnsi="Arial" w:cs="Arial"/>
            <w:color w:val="0000FF"/>
            <w:u w:val="single" w:color="0000FF"/>
          </w:rPr>
          <w:t>ICO website</w:t>
        </w:r>
      </w:hyperlink>
      <w:hyperlink r:id="rId51">
        <w:r w:rsidRPr="00D71A4F">
          <w:rPr>
            <w:rFonts w:ascii="Arial" w:hAnsi="Arial" w:cs="Arial"/>
          </w:rPr>
          <w:t xml:space="preserve"> </w:t>
        </w:r>
      </w:hyperlink>
      <w:r w:rsidRPr="00D71A4F">
        <w:rPr>
          <w:rFonts w:ascii="Arial" w:hAnsi="Arial" w:cs="Arial"/>
        </w:rPr>
        <w:t xml:space="preserve">or your Optical Confederation representative body will be able to offer advice on a case by case basis. </w:t>
      </w:r>
    </w:p>
    <w:p w14:paraId="6832488D" w14:textId="77777777" w:rsidR="007176C1" w:rsidRPr="00D71A4F" w:rsidRDefault="008D7D89">
      <w:pPr>
        <w:pStyle w:val="Heading1"/>
        <w:tabs>
          <w:tab w:val="center" w:pos="1632"/>
        </w:tabs>
        <w:ind w:left="-15" w:right="0" w:firstLine="0"/>
        <w:rPr>
          <w:rFonts w:ascii="Arial" w:hAnsi="Arial" w:cs="Arial"/>
        </w:rPr>
      </w:pPr>
      <w:bookmarkStart w:id="25" w:name="_Toc30768837"/>
      <w:r w:rsidRPr="00D71A4F">
        <w:rPr>
          <w:rFonts w:ascii="Arial" w:hAnsi="Arial" w:cs="Arial"/>
        </w:rPr>
        <w:t xml:space="preserve">2.8  </w:t>
      </w:r>
      <w:r w:rsidRPr="00D71A4F">
        <w:rPr>
          <w:rFonts w:ascii="Arial" w:hAnsi="Arial" w:cs="Arial"/>
        </w:rPr>
        <w:tab/>
        <w:t>Further information</w:t>
      </w:r>
      <w:bookmarkEnd w:id="25"/>
      <w:r w:rsidRPr="00D71A4F">
        <w:rPr>
          <w:rFonts w:ascii="Arial" w:hAnsi="Arial" w:cs="Arial"/>
        </w:rPr>
        <w:t xml:space="preserve"> </w:t>
      </w:r>
    </w:p>
    <w:p w14:paraId="6C1649DF" w14:textId="6D1E9811" w:rsidR="007176C1" w:rsidRPr="00D71A4F" w:rsidRDefault="008D7D89">
      <w:pPr>
        <w:ind w:left="-5" w:right="11"/>
        <w:rPr>
          <w:rFonts w:ascii="Arial" w:hAnsi="Arial" w:cs="Arial"/>
        </w:rPr>
      </w:pPr>
      <w:r w:rsidRPr="00D71A4F">
        <w:rPr>
          <w:rFonts w:ascii="Arial" w:hAnsi="Arial" w:cs="Arial"/>
        </w:rPr>
        <w:t>Updates to this guidance, as well as any additional guidance, will be posted on</w:t>
      </w:r>
      <w:r w:rsidR="007476E2" w:rsidRPr="00D71A4F">
        <w:rPr>
          <w:rFonts w:ascii="Arial" w:hAnsi="Arial" w:cs="Arial"/>
        </w:rPr>
        <w:t xml:space="preserve"> </w:t>
      </w:r>
      <w:hyperlink r:id="rId52" w:history="1">
        <w:r w:rsidR="007476E2" w:rsidRPr="00D71A4F">
          <w:rPr>
            <w:rStyle w:val="Hyperlink"/>
            <w:rFonts w:ascii="Arial" w:hAnsi="Arial" w:cs="Arial"/>
          </w:rPr>
          <w:t>www.fodo.com</w:t>
        </w:r>
      </w:hyperlink>
      <w:r w:rsidRPr="00D71A4F">
        <w:rPr>
          <w:rFonts w:ascii="Arial" w:hAnsi="Arial" w:cs="Arial"/>
        </w:rPr>
        <w:t xml:space="preserve">.  </w:t>
      </w:r>
    </w:p>
    <w:p w14:paraId="2F05DE5A" w14:textId="0F2FEF80" w:rsidR="007476E2" w:rsidRPr="00D71A4F" w:rsidRDefault="008D7D89" w:rsidP="007476E2">
      <w:pPr>
        <w:spacing w:after="209" w:line="267" w:lineRule="auto"/>
        <w:ind w:left="-5"/>
        <w:rPr>
          <w:rFonts w:ascii="Arial" w:hAnsi="Arial" w:cs="Arial"/>
        </w:rPr>
      </w:pPr>
      <w:r w:rsidRPr="00D71A4F">
        <w:rPr>
          <w:rFonts w:ascii="Arial" w:hAnsi="Arial" w:cs="Arial"/>
          <w:b/>
        </w:rPr>
        <w:t xml:space="preserve">If you require further advice/guidance please contact </w:t>
      </w:r>
      <w:hyperlink r:id="rId53" w:history="1">
        <w:r w:rsidR="007476E2" w:rsidRPr="00D71A4F">
          <w:rPr>
            <w:rStyle w:val="Hyperlink"/>
            <w:rFonts w:ascii="Arial" w:hAnsi="Arial" w:cs="Arial"/>
            <w:b/>
          </w:rPr>
          <w:t>memberhsip@fodo.com</w:t>
        </w:r>
      </w:hyperlink>
      <w:r w:rsidR="007476E2" w:rsidRPr="00D71A4F">
        <w:rPr>
          <w:rFonts w:ascii="Arial" w:hAnsi="Arial" w:cs="Arial"/>
          <w:b/>
        </w:rPr>
        <w:t xml:space="preserve"> </w:t>
      </w:r>
    </w:p>
    <w:p w14:paraId="109AB3F3" w14:textId="77777777" w:rsidR="007176C1" w:rsidRPr="00D71A4F" w:rsidRDefault="008D7D89">
      <w:pPr>
        <w:spacing w:after="51"/>
        <w:ind w:left="-5" w:right="11"/>
        <w:rPr>
          <w:rFonts w:ascii="Arial" w:hAnsi="Arial" w:cs="Arial"/>
        </w:rPr>
      </w:pPr>
      <w:r w:rsidRPr="00D71A4F">
        <w:rPr>
          <w:rFonts w:ascii="Arial" w:hAnsi="Arial" w:cs="Arial"/>
        </w:rPr>
        <w:t xml:space="preserve">You may also find the following helpful: </w:t>
      </w:r>
    </w:p>
    <w:p w14:paraId="19F627E7" w14:textId="77777777" w:rsidR="007176C1" w:rsidRPr="00D71A4F" w:rsidRDefault="00DC1C78">
      <w:pPr>
        <w:numPr>
          <w:ilvl w:val="0"/>
          <w:numId w:val="17"/>
        </w:numPr>
        <w:spacing w:after="17" w:line="259" w:lineRule="auto"/>
        <w:ind w:hanging="360"/>
        <w:rPr>
          <w:rFonts w:ascii="Arial" w:hAnsi="Arial" w:cs="Arial"/>
        </w:rPr>
      </w:pPr>
      <w:hyperlink r:id="rId54">
        <w:r w:rsidR="008D7D89" w:rsidRPr="00D71A4F">
          <w:rPr>
            <w:rFonts w:ascii="Arial" w:hAnsi="Arial" w:cs="Arial"/>
            <w:color w:val="0000FF"/>
            <w:u w:val="single" w:color="0000FF"/>
          </w:rPr>
          <w:t>ICO helpline</w:t>
        </w:r>
      </w:hyperlink>
      <w:hyperlink r:id="rId55">
        <w:r w:rsidR="008D7D89" w:rsidRPr="00D71A4F">
          <w:rPr>
            <w:rFonts w:ascii="Arial" w:hAnsi="Arial" w:cs="Arial"/>
          </w:rPr>
          <w:t xml:space="preserve"> </w:t>
        </w:r>
      </w:hyperlink>
      <w:r w:rsidR="008D7D89" w:rsidRPr="00D71A4F">
        <w:rPr>
          <w:rFonts w:ascii="Arial" w:hAnsi="Arial" w:cs="Arial"/>
        </w:rPr>
        <w:t xml:space="preserve"> </w:t>
      </w:r>
    </w:p>
    <w:p w14:paraId="13658C5B" w14:textId="77777777" w:rsidR="007176C1" w:rsidRPr="00D71A4F" w:rsidRDefault="00DC1C78">
      <w:pPr>
        <w:numPr>
          <w:ilvl w:val="0"/>
          <w:numId w:val="17"/>
        </w:numPr>
        <w:spacing w:after="17" w:line="259" w:lineRule="auto"/>
        <w:ind w:hanging="360"/>
        <w:rPr>
          <w:rFonts w:ascii="Arial" w:hAnsi="Arial" w:cs="Arial"/>
        </w:rPr>
      </w:pPr>
      <w:hyperlink r:id="rId56">
        <w:r w:rsidR="008D7D89" w:rsidRPr="00D71A4F">
          <w:rPr>
            <w:rFonts w:ascii="Arial" w:hAnsi="Arial" w:cs="Arial"/>
            <w:color w:val="0000FF"/>
            <w:u w:val="single" w:color="0000FF"/>
          </w:rPr>
          <w:t>ICO Health Sector webinar on the GDPR</w:t>
        </w:r>
      </w:hyperlink>
      <w:hyperlink r:id="rId57">
        <w:r w:rsidR="008D7D89" w:rsidRPr="00D71A4F">
          <w:rPr>
            <w:rFonts w:ascii="Arial" w:hAnsi="Arial" w:cs="Arial"/>
            <w:color w:val="0000FF"/>
          </w:rPr>
          <w:t xml:space="preserve"> </w:t>
        </w:r>
      </w:hyperlink>
      <w:hyperlink r:id="rId58">
        <w:r w:rsidR="008D7D89" w:rsidRPr="00D71A4F">
          <w:rPr>
            <w:rFonts w:ascii="Arial" w:hAnsi="Arial" w:cs="Arial"/>
          </w:rPr>
          <w:t xml:space="preserve"> </w:t>
        </w:r>
      </w:hyperlink>
    </w:p>
    <w:p w14:paraId="39C644D1" w14:textId="77777777" w:rsidR="007176C1" w:rsidRPr="00D71A4F" w:rsidRDefault="008D7D89">
      <w:pPr>
        <w:numPr>
          <w:ilvl w:val="0"/>
          <w:numId w:val="17"/>
        </w:numPr>
        <w:spacing w:after="17" w:line="259" w:lineRule="auto"/>
        <w:ind w:hanging="360"/>
        <w:rPr>
          <w:rFonts w:ascii="Arial" w:hAnsi="Arial" w:cs="Arial"/>
        </w:rPr>
      </w:pPr>
      <w:r w:rsidRPr="00D71A4F">
        <w:rPr>
          <w:rFonts w:ascii="Arial" w:hAnsi="Arial" w:cs="Arial"/>
          <w:color w:val="0000FF"/>
          <w:u w:val="single" w:color="0000FF"/>
        </w:rPr>
        <w:t>ICO Myth Busting Blog</w:t>
      </w:r>
      <w:r w:rsidRPr="00D71A4F">
        <w:rPr>
          <w:rFonts w:ascii="Arial" w:hAnsi="Arial" w:cs="Arial"/>
          <w:color w:val="0000FF"/>
        </w:rPr>
        <w:t xml:space="preserve"> </w:t>
      </w:r>
      <w:r w:rsidRPr="00D71A4F">
        <w:rPr>
          <w:rFonts w:ascii="Arial" w:hAnsi="Arial" w:cs="Arial"/>
        </w:rPr>
        <w:t xml:space="preserve"> </w:t>
      </w:r>
    </w:p>
    <w:p w14:paraId="064AE3E4" w14:textId="77777777" w:rsidR="007176C1" w:rsidRPr="00D71A4F" w:rsidRDefault="00DC1C78">
      <w:pPr>
        <w:numPr>
          <w:ilvl w:val="0"/>
          <w:numId w:val="17"/>
        </w:numPr>
        <w:spacing w:after="192" w:line="259" w:lineRule="auto"/>
        <w:ind w:hanging="360"/>
        <w:rPr>
          <w:rFonts w:ascii="Arial" w:hAnsi="Arial" w:cs="Arial"/>
        </w:rPr>
      </w:pPr>
      <w:hyperlink r:id="rId59">
        <w:r w:rsidR="008D7D89" w:rsidRPr="00D71A4F">
          <w:rPr>
            <w:rFonts w:ascii="Arial" w:hAnsi="Arial" w:cs="Arial"/>
            <w:color w:val="0000FF"/>
            <w:u w:val="single" w:color="0000FF"/>
          </w:rPr>
          <w:t xml:space="preserve">NHS </w:t>
        </w:r>
      </w:hyperlink>
      <w:hyperlink r:id="rId60">
        <w:r w:rsidR="008D7D89" w:rsidRPr="00D71A4F">
          <w:rPr>
            <w:rFonts w:ascii="Arial" w:hAnsi="Arial" w:cs="Arial"/>
            <w:color w:val="0000FF"/>
            <w:u w:val="single" w:color="0000FF"/>
          </w:rPr>
          <w:t>–</w:t>
        </w:r>
      </w:hyperlink>
      <w:hyperlink r:id="rId61">
        <w:r w:rsidR="008D7D89" w:rsidRPr="00D71A4F">
          <w:rPr>
            <w:rFonts w:ascii="Arial" w:hAnsi="Arial" w:cs="Arial"/>
            <w:color w:val="0000FF"/>
            <w:u w:val="single" w:color="0000FF"/>
          </w:rPr>
          <w:t xml:space="preserve"> </w:t>
        </w:r>
      </w:hyperlink>
      <w:hyperlink r:id="rId62">
        <w:r w:rsidR="008D7D89" w:rsidRPr="00D71A4F">
          <w:rPr>
            <w:rFonts w:ascii="Arial" w:hAnsi="Arial" w:cs="Arial"/>
            <w:color w:val="0000FF"/>
            <w:u w:val="single" w:color="0000FF"/>
          </w:rPr>
          <w:t>Information Governance Alliance guidance</w:t>
        </w:r>
      </w:hyperlink>
      <w:hyperlink r:id="rId63">
        <w:r w:rsidR="008D7D89" w:rsidRPr="00D71A4F">
          <w:rPr>
            <w:rFonts w:ascii="Arial" w:hAnsi="Arial" w:cs="Arial"/>
          </w:rPr>
          <w:t xml:space="preserve"> </w:t>
        </w:r>
      </w:hyperlink>
    </w:p>
    <w:p w14:paraId="02154CC4" w14:textId="77777777" w:rsidR="007176C1" w:rsidRPr="00D71A4F" w:rsidRDefault="008D7D89">
      <w:pPr>
        <w:spacing w:after="19" w:line="259" w:lineRule="auto"/>
        <w:ind w:left="0" w:firstLine="0"/>
        <w:rPr>
          <w:rFonts w:ascii="Arial" w:hAnsi="Arial" w:cs="Arial"/>
        </w:rPr>
      </w:pPr>
      <w:r w:rsidRPr="00D71A4F">
        <w:rPr>
          <w:rFonts w:ascii="Arial" w:hAnsi="Arial" w:cs="Arial"/>
          <w:b/>
        </w:rPr>
        <w:t xml:space="preserve"> </w:t>
      </w:r>
    </w:p>
    <w:p w14:paraId="4865F595" w14:textId="77777777" w:rsidR="007176C1" w:rsidRPr="00D71A4F" w:rsidRDefault="007176C1">
      <w:pPr>
        <w:rPr>
          <w:rFonts w:ascii="Arial" w:hAnsi="Arial" w:cs="Arial"/>
        </w:rPr>
        <w:sectPr w:rsidR="007176C1" w:rsidRPr="00D71A4F">
          <w:footerReference w:type="even" r:id="rId64"/>
          <w:footerReference w:type="default" r:id="rId65"/>
          <w:footerReference w:type="first" r:id="rId66"/>
          <w:endnotePr>
            <w:numFmt w:val="decimal"/>
          </w:endnotePr>
          <w:pgSz w:w="12240" w:h="15840"/>
          <w:pgMar w:top="1445" w:right="1436" w:bottom="1437" w:left="1440" w:header="720" w:footer="719" w:gutter="0"/>
          <w:cols w:space="720"/>
        </w:sectPr>
      </w:pPr>
    </w:p>
    <w:p w14:paraId="0A8B3601" w14:textId="77777777" w:rsidR="007176C1" w:rsidRPr="00D71A4F" w:rsidRDefault="008D7D89">
      <w:pPr>
        <w:pStyle w:val="Heading1"/>
        <w:spacing w:after="0"/>
        <w:ind w:left="-5" w:right="0"/>
        <w:rPr>
          <w:rFonts w:ascii="Arial" w:hAnsi="Arial" w:cs="Arial"/>
        </w:rPr>
      </w:pPr>
      <w:bookmarkStart w:id="26" w:name="_Toc30768838"/>
      <w:r w:rsidRPr="00D71A4F">
        <w:rPr>
          <w:rFonts w:ascii="Arial" w:hAnsi="Arial" w:cs="Arial"/>
        </w:rPr>
        <w:t xml:space="preserve">Annex A </w:t>
      </w:r>
      <w:r w:rsidRPr="00D71A4F">
        <w:rPr>
          <w:rFonts w:ascii="Arial" w:hAnsi="Arial" w:cs="Arial"/>
          <w:b w:val="0"/>
        </w:rPr>
        <w:t xml:space="preserve">– </w:t>
      </w:r>
      <w:r w:rsidRPr="00D71A4F">
        <w:rPr>
          <w:rFonts w:ascii="Arial" w:hAnsi="Arial" w:cs="Arial"/>
        </w:rPr>
        <w:t>EXAMPLE OF RECORD KEEPING IN TYPICAL PRACTICE</w:t>
      </w:r>
      <w:bookmarkEnd w:id="26"/>
      <w:r w:rsidRPr="00D71A4F">
        <w:rPr>
          <w:rFonts w:ascii="Arial" w:hAnsi="Arial" w:cs="Arial"/>
        </w:rPr>
        <w:t xml:space="preserve">  </w:t>
      </w:r>
    </w:p>
    <w:p w14:paraId="19A3899A" w14:textId="77777777" w:rsidR="007176C1" w:rsidRPr="00D71A4F" w:rsidRDefault="008D7D89">
      <w:pPr>
        <w:spacing w:after="0" w:line="259" w:lineRule="auto"/>
        <w:ind w:left="0" w:firstLine="0"/>
        <w:rPr>
          <w:rFonts w:ascii="Arial" w:hAnsi="Arial" w:cs="Arial"/>
        </w:rPr>
      </w:pPr>
      <w:r w:rsidRPr="00D71A4F">
        <w:rPr>
          <w:rFonts w:ascii="Arial" w:hAnsi="Arial" w:cs="Arial"/>
          <w:b/>
        </w:rPr>
        <w:t xml:space="preserve"> </w:t>
      </w:r>
    </w:p>
    <w:p w14:paraId="31E28621" w14:textId="77777777" w:rsidR="007176C1" w:rsidRPr="00D71A4F" w:rsidRDefault="008D7D89">
      <w:pPr>
        <w:spacing w:after="0" w:line="259" w:lineRule="auto"/>
        <w:ind w:left="-5"/>
        <w:rPr>
          <w:rFonts w:ascii="Arial" w:hAnsi="Arial" w:cs="Arial"/>
        </w:rPr>
      </w:pPr>
      <w:r w:rsidRPr="00D71A4F">
        <w:rPr>
          <w:rFonts w:ascii="Arial" w:hAnsi="Arial" w:cs="Arial"/>
          <w:b/>
          <w:sz w:val="20"/>
        </w:rPr>
        <w:t xml:space="preserve">Name of Controller:  </w:t>
      </w:r>
    </w:p>
    <w:p w14:paraId="5A4067C5" w14:textId="77777777" w:rsidR="007176C1" w:rsidRPr="00D71A4F" w:rsidRDefault="008D7D89">
      <w:pPr>
        <w:spacing w:after="0" w:line="259" w:lineRule="auto"/>
        <w:ind w:left="-5"/>
        <w:rPr>
          <w:rFonts w:ascii="Arial" w:hAnsi="Arial" w:cs="Arial"/>
        </w:rPr>
      </w:pPr>
      <w:r w:rsidRPr="00D71A4F">
        <w:rPr>
          <w:rFonts w:ascii="Arial" w:hAnsi="Arial" w:cs="Arial"/>
          <w:b/>
          <w:sz w:val="20"/>
        </w:rPr>
        <w:t xml:space="preserve">Address of Controller:  </w:t>
      </w:r>
    </w:p>
    <w:p w14:paraId="73D9CADA" w14:textId="77777777" w:rsidR="007176C1" w:rsidRPr="00D71A4F" w:rsidRDefault="008D7D89">
      <w:pPr>
        <w:spacing w:after="0" w:line="259" w:lineRule="auto"/>
        <w:ind w:left="-5"/>
        <w:rPr>
          <w:rFonts w:ascii="Arial" w:hAnsi="Arial" w:cs="Arial"/>
        </w:rPr>
      </w:pPr>
      <w:r w:rsidRPr="00D71A4F">
        <w:rPr>
          <w:rFonts w:ascii="Arial" w:hAnsi="Arial" w:cs="Arial"/>
          <w:b/>
          <w:sz w:val="20"/>
        </w:rPr>
        <w:t xml:space="preserve">Telephone/Email:  </w:t>
      </w:r>
    </w:p>
    <w:p w14:paraId="054808AE" w14:textId="28E6D7D0" w:rsidR="007176C1" w:rsidRPr="00D71A4F" w:rsidRDefault="008D7D89">
      <w:pPr>
        <w:spacing w:after="0" w:line="259" w:lineRule="auto"/>
        <w:ind w:left="-5"/>
        <w:rPr>
          <w:rFonts w:ascii="Arial" w:hAnsi="Arial" w:cs="Arial"/>
          <w:b/>
          <w:sz w:val="20"/>
        </w:rPr>
      </w:pPr>
      <w:r w:rsidRPr="00D71A4F">
        <w:rPr>
          <w:rFonts w:ascii="Arial" w:hAnsi="Arial" w:cs="Arial"/>
          <w:b/>
          <w:sz w:val="20"/>
        </w:rPr>
        <w:t xml:space="preserve">DPO:   </w:t>
      </w:r>
    </w:p>
    <w:p w14:paraId="4133200D" w14:textId="6161794C" w:rsidR="007476E2" w:rsidRPr="00D71A4F" w:rsidRDefault="007476E2">
      <w:pPr>
        <w:spacing w:after="0" w:line="259" w:lineRule="auto"/>
        <w:ind w:left="-5"/>
        <w:rPr>
          <w:rFonts w:ascii="Arial" w:hAnsi="Arial" w:cs="Arial"/>
          <w:b/>
          <w:sz w:val="20"/>
        </w:rPr>
      </w:pPr>
    </w:p>
    <w:tbl>
      <w:tblPr>
        <w:tblStyle w:val="TableGrid0"/>
        <w:tblW w:w="13325" w:type="dxa"/>
        <w:tblInd w:w="-5" w:type="dxa"/>
        <w:tblLook w:val="04A0" w:firstRow="1" w:lastRow="0" w:firstColumn="1" w:lastColumn="0" w:noHBand="0" w:noVBand="1"/>
      </w:tblPr>
      <w:tblGrid>
        <w:gridCol w:w="1843"/>
        <w:gridCol w:w="2410"/>
        <w:gridCol w:w="2268"/>
        <w:gridCol w:w="2410"/>
        <w:gridCol w:w="4394"/>
      </w:tblGrid>
      <w:tr w:rsidR="00552E75" w:rsidRPr="00D71A4F" w14:paraId="1BEDD579" w14:textId="77777777" w:rsidTr="00552E75">
        <w:tc>
          <w:tcPr>
            <w:tcW w:w="1843" w:type="dxa"/>
            <w:shd w:val="clear" w:color="auto" w:fill="002060"/>
          </w:tcPr>
          <w:p w14:paraId="09D1303B" w14:textId="00B1052F" w:rsidR="00552E75" w:rsidRPr="00D71A4F" w:rsidRDefault="00552E75">
            <w:pPr>
              <w:spacing w:after="0" w:line="259" w:lineRule="auto"/>
              <w:ind w:left="0" w:firstLine="0"/>
              <w:rPr>
                <w:rFonts w:ascii="Arial" w:hAnsi="Arial" w:cs="Arial"/>
                <w:bCs/>
                <w:color w:val="FFFFFF" w:themeColor="background1"/>
              </w:rPr>
            </w:pPr>
            <w:r w:rsidRPr="00D71A4F">
              <w:rPr>
                <w:rFonts w:ascii="Arial" w:hAnsi="Arial" w:cs="Arial"/>
                <w:bCs/>
                <w:color w:val="FFFFFF" w:themeColor="background1"/>
                <w:sz w:val="20"/>
              </w:rPr>
              <w:t>Category of personal data and data subject</w:t>
            </w:r>
          </w:p>
        </w:tc>
        <w:tc>
          <w:tcPr>
            <w:tcW w:w="2410" w:type="dxa"/>
            <w:shd w:val="clear" w:color="auto" w:fill="002060"/>
          </w:tcPr>
          <w:p w14:paraId="3933F72A" w14:textId="75144AF7" w:rsidR="00552E75" w:rsidRPr="00D71A4F" w:rsidRDefault="00552E75">
            <w:pPr>
              <w:spacing w:after="0" w:line="259" w:lineRule="auto"/>
              <w:ind w:left="0" w:firstLine="0"/>
              <w:rPr>
                <w:rFonts w:ascii="Arial" w:hAnsi="Arial" w:cs="Arial"/>
                <w:bCs/>
                <w:color w:val="FFFFFF" w:themeColor="background1"/>
              </w:rPr>
            </w:pPr>
            <w:r w:rsidRPr="00D71A4F">
              <w:rPr>
                <w:rFonts w:ascii="Arial" w:hAnsi="Arial" w:cs="Arial"/>
                <w:bCs/>
                <w:color w:val="FFFFFF"/>
                <w:sz w:val="20"/>
              </w:rPr>
              <w:t>Legal basis for processing personal data</w:t>
            </w:r>
          </w:p>
        </w:tc>
        <w:tc>
          <w:tcPr>
            <w:tcW w:w="2268" w:type="dxa"/>
            <w:shd w:val="clear" w:color="auto" w:fill="002060"/>
          </w:tcPr>
          <w:p w14:paraId="199DD4C9" w14:textId="2480C7FC" w:rsidR="00552E75" w:rsidRPr="00D71A4F" w:rsidRDefault="00552E75">
            <w:pPr>
              <w:spacing w:after="0" w:line="259" w:lineRule="auto"/>
              <w:ind w:left="0" w:firstLine="0"/>
              <w:rPr>
                <w:rFonts w:ascii="Arial" w:hAnsi="Arial" w:cs="Arial"/>
                <w:bCs/>
                <w:color w:val="FFFFFF" w:themeColor="background1"/>
              </w:rPr>
            </w:pPr>
            <w:r w:rsidRPr="00D71A4F">
              <w:rPr>
                <w:rFonts w:ascii="Arial" w:hAnsi="Arial" w:cs="Arial"/>
                <w:bCs/>
                <w:color w:val="FFFFFF"/>
                <w:sz w:val="20"/>
              </w:rPr>
              <w:t>Who these personal data are shared with</w:t>
            </w:r>
          </w:p>
        </w:tc>
        <w:tc>
          <w:tcPr>
            <w:tcW w:w="2410" w:type="dxa"/>
            <w:shd w:val="clear" w:color="auto" w:fill="002060"/>
          </w:tcPr>
          <w:p w14:paraId="56F8E448" w14:textId="7F96DFE8" w:rsidR="00552E75" w:rsidRPr="00D71A4F" w:rsidRDefault="00552E75">
            <w:pPr>
              <w:spacing w:after="0" w:line="259" w:lineRule="auto"/>
              <w:ind w:left="0" w:firstLine="0"/>
              <w:rPr>
                <w:rFonts w:ascii="Arial" w:hAnsi="Arial" w:cs="Arial"/>
                <w:bCs/>
                <w:color w:val="FFFFFF" w:themeColor="background1"/>
              </w:rPr>
            </w:pPr>
            <w:r w:rsidRPr="00D71A4F">
              <w:rPr>
                <w:rFonts w:ascii="Arial" w:hAnsi="Arial" w:cs="Arial"/>
                <w:bCs/>
                <w:color w:val="FFFFFF"/>
                <w:sz w:val="20"/>
              </w:rPr>
              <w:t>Time limits for erasure</w:t>
            </w:r>
          </w:p>
        </w:tc>
        <w:tc>
          <w:tcPr>
            <w:tcW w:w="4394" w:type="dxa"/>
            <w:shd w:val="clear" w:color="auto" w:fill="002060"/>
          </w:tcPr>
          <w:p w14:paraId="255A8004" w14:textId="4F2B4C9A" w:rsidR="00552E75" w:rsidRPr="00D71A4F" w:rsidRDefault="00552E75">
            <w:pPr>
              <w:spacing w:after="0" w:line="259" w:lineRule="auto"/>
              <w:ind w:left="0" w:firstLine="0"/>
              <w:rPr>
                <w:rFonts w:ascii="Arial" w:hAnsi="Arial" w:cs="Arial"/>
                <w:bCs/>
                <w:color w:val="FFFFFF" w:themeColor="background1"/>
              </w:rPr>
            </w:pPr>
            <w:r w:rsidRPr="00D71A4F">
              <w:rPr>
                <w:rFonts w:ascii="Arial" w:hAnsi="Arial" w:cs="Arial"/>
                <w:bCs/>
                <w:color w:val="FFFFFF"/>
                <w:sz w:val="20"/>
              </w:rPr>
              <w:t>Technical/organisational security measures to ensure level of security appropriate to risks</w:t>
            </w:r>
          </w:p>
        </w:tc>
      </w:tr>
      <w:tr w:rsidR="00552E75" w:rsidRPr="00D71A4F" w14:paraId="67FDD106" w14:textId="77777777" w:rsidTr="00552E75">
        <w:tc>
          <w:tcPr>
            <w:tcW w:w="1843" w:type="dxa"/>
          </w:tcPr>
          <w:p w14:paraId="5E96E3BD" w14:textId="77777777" w:rsidR="00552E75" w:rsidRPr="00D71A4F" w:rsidRDefault="00552E75" w:rsidP="00552E75">
            <w:pPr>
              <w:spacing w:after="1" w:line="241" w:lineRule="auto"/>
              <w:ind w:left="0" w:right="49" w:firstLine="0"/>
              <w:rPr>
                <w:rFonts w:ascii="Arial" w:hAnsi="Arial" w:cs="Arial"/>
              </w:rPr>
            </w:pPr>
            <w:r w:rsidRPr="00D71A4F">
              <w:rPr>
                <w:rFonts w:ascii="Arial" w:hAnsi="Arial" w:cs="Arial"/>
                <w:b/>
                <w:sz w:val="20"/>
              </w:rPr>
              <w:t xml:space="preserve">GOS patient records – including retinal </w:t>
            </w:r>
          </w:p>
          <w:p w14:paraId="0E234965" w14:textId="5DABA00D" w:rsidR="00552E75" w:rsidRPr="00D71A4F" w:rsidRDefault="00552E75" w:rsidP="00552E75">
            <w:pPr>
              <w:spacing w:after="0" w:line="259" w:lineRule="auto"/>
              <w:ind w:left="0" w:firstLine="0"/>
              <w:rPr>
                <w:rFonts w:ascii="Arial" w:hAnsi="Arial" w:cs="Arial"/>
              </w:rPr>
            </w:pPr>
            <w:r w:rsidRPr="00D71A4F">
              <w:rPr>
                <w:rFonts w:ascii="Arial" w:hAnsi="Arial" w:cs="Arial"/>
                <w:b/>
                <w:sz w:val="20"/>
              </w:rPr>
              <w:t>photographs, referral letters etc.</w:t>
            </w:r>
          </w:p>
        </w:tc>
        <w:tc>
          <w:tcPr>
            <w:tcW w:w="2410" w:type="dxa"/>
          </w:tcPr>
          <w:p w14:paraId="7AC35146" w14:textId="5B7BD434" w:rsidR="00552E75" w:rsidRPr="00D71A4F" w:rsidRDefault="00552E75">
            <w:pPr>
              <w:spacing w:after="0" w:line="259" w:lineRule="auto"/>
              <w:ind w:left="0" w:firstLine="0"/>
              <w:rPr>
                <w:rFonts w:ascii="Arial" w:hAnsi="Arial" w:cs="Arial"/>
              </w:rPr>
            </w:pPr>
            <w:r w:rsidRPr="00D71A4F">
              <w:rPr>
                <w:rFonts w:ascii="Arial" w:hAnsi="Arial" w:cs="Arial"/>
                <w:sz w:val="20"/>
              </w:rPr>
              <w:t xml:space="preserve">The condition for processing special category data - the provision of health care. The lawful bases - </w:t>
            </w:r>
            <w:r w:rsidRPr="00D71A4F">
              <w:rPr>
                <w:rFonts w:ascii="Arial" w:hAnsi="Arial" w:cs="Arial"/>
                <w:b/>
                <w:sz w:val="20"/>
              </w:rPr>
              <w:t xml:space="preserve"> </w:t>
            </w:r>
            <w:r w:rsidRPr="00D71A4F">
              <w:rPr>
                <w:rFonts w:ascii="Arial" w:hAnsi="Arial" w:cs="Arial"/>
                <w:sz w:val="20"/>
              </w:rPr>
              <w:t xml:space="preserve">the performance of a task carried out in the public interest and legitimate interests  </w:t>
            </w:r>
          </w:p>
        </w:tc>
        <w:tc>
          <w:tcPr>
            <w:tcW w:w="2268" w:type="dxa"/>
          </w:tcPr>
          <w:p w14:paraId="3211E35D" w14:textId="068D2D0A" w:rsidR="00552E75" w:rsidRPr="00D71A4F" w:rsidRDefault="00552E75">
            <w:pPr>
              <w:spacing w:after="0" w:line="259" w:lineRule="auto"/>
              <w:ind w:left="0" w:firstLine="0"/>
              <w:rPr>
                <w:rFonts w:ascii="Arial" w:hAnsi="Arial" w:cs="Arial"/>
              </w:rPr>
            </w:pPr>
            <w:r w:rsidRPr="00D71A4F">
              <w:rPr>
                <w:rFonts w:ascii="Arial" w:hAnsi="Arial" w:cs="Arial"/>
                <w:sz w:val="20"/>
              </w:rPr>
              <w:t>Registered health care professionals and those under their supervision</w:t>
            </w:r>
          </w:p>
        </w:tc>
        <w:tc>
          <w:tcPr>
            <w:tcW w:w="2410" w:type="dxa"/>
          </w:tcPr>
          <w:p w14:paraId="734C4737" w14:textId="2C8F649C" w:rsidR="00552E75" w:rsidRPr="00D71A4F" w:rsidRDefault="00552E75">
            <w:pPr>
              <w:spacing w:after="0" w:line="259" w:lineRule="auto"/>
              <w:ind w:left="0" w:firstLine="0"/>
              <w:rPr>
                <w:rFonts w:ascii="Arial" w:hAnsi="Arial" w:cs="Arial"/>
              </w:rPr>
            </w:pPr>
            <w:r w:rsidRPr="00D71A4F">
              <w:rPr>
                <w:rFonts w:ascii="Arial" w:hAnsi="Arial" w:cs="Arial"/>
                <w:sz w:val="20"/>
              </w:rPr>
              <w:t>The NHS specifies 7 years or, in the case of children under 18, until their 25</w:t>
            </w:r>
            <w:r w:rsidRPr="00D71A4F">
              <w:rPr>
                <w:rFonts w:ascii="Arial" w:hAnsi="Arial" w:cs="Arial"/>
                <w:sz w:val="20"/>
                <w:vertAlign w:val="superscript"/>
              </w:rPr>
              <w:t>th</w:t>
            </w:r>
            <w:r w:rsidRPr="00D71A4F">
              <w:rPr>
                <w:rFonts w:ascii="Arial" w:hAnsi="Arial" w:cs="Arial"/>
                <w:sz w:val="20"/>
              </w:rPr>
              <w:t xml:space="preserve"> birthday. Accepted good practice in the profession is that records should be kept for 10 years after last contact with the patient.</w:t>
            </w:r>
          </w:p>
        </w:tc>
        <w:tc>
          <w:tcPr>
            <w:tcW w:w="4394" w:type="dxa"/>
          </w:tcPr>
          <w:p w14:paraId="5055006A" w14:textId="113683E6" w:rsidR="00552E75" w:rsidRPr="00D71A4F" w:rsidRDefault="00552E75">
            <w:pPr>
              <w:spacing w:after="0" w:line="259" w:lineRule="auto"/>
              <w:ind w:left="0" w:firstLine="0"/>
              <w:rPr>
                <w:rFonts w:ascii="Arial" w:hAnsi="Arial" w:cs="Arial"/>
              </w:rPr>
            </w:pPr>
            <w:r w:rsidRPr="00D71A4F">
              <w:rPr>
                <w:rFonts w:ascii="Arial" w:hAnsi="Arial" w:cs="Arial"/>
                <w:sz w:val="20"/>
              </w:rPr>
              <w:t>Only registered health care staff have access to the complete patient record. All registered staff comply with GOC standards, which ensure they respect patient confidentiality. Paper records are kept securely. Electronic data is password protected, employees can only access the information essential for their role, all employees have passwords so there is an audit of any changes made, there is also a back-up system that means data can be restored. All anti-virus software and other software are kept up to date.</w:t>
            </w:r>
          </w:p>
        </w:tc>
      </w:tr>
      <w:tr w:rsidR="00552E75" w:rsidRPr="00D71A4F" w14:paraId="753EE790" w14:textId="77777777" w:rsidTr="00552E75">
        <w:tc>
          <w:tcPr>
            <w:tcW w:w="1843" w:type="dxa"/>
          </w:tcPr>
          <w:p w14:paraId="21C22C39" w14:textId="77777777" w:rsidR="00552E75" w:rsidRPr="00D71A4F" w:rsidRDefault="00552E75" w:rsidP="00552E75">
            <w:pPr>
              <w:spacing w:after="0" w:line="241" w:lineRule="auto"/>
              <w:ind w:left="0" w:right="14" w:firstLine="0"/>
              <w:rPr>
                <w:rFonts w:ascii="Arial" w:hAnsi="Arial" w:cs="Arial"/>
              </w:rPr>
            </w:pPr>
            <w:r w:rsidRPr="00D71A4F">
              <w:rPr>
                <w:rFonts w:ascii="Arial" w:hAnsi="Arial" w:cs="Arial"/>
                <w:b/>
                <w:sz w:val="20"/>
              </w:rPr>
              <w:t xml:space="preserve">Private patient records and NHS patients seen under the </w:t>
            </w:r>
          </w:p>
          <w:p w14:paraId="3127396F" w14:textId="77777777" w:rsidR="00552E75" w:rsidRPr="00D71A4F" w:rsidRDefault="00552E75" w:rsidP="00552E75">
            <w:pPr>
              <w:spacing w:after="0" w:line="242" w:lineRule="auto"/>
              <w:ind w:left="0" w:right="242" w:firstLine="0"/>
              <w:rPr>
                <w:rFonts w:ascii="Arial" w:hAnsi="Arial" w:cs="Arial"/>
              </w:rPr>
            </w:pPr>
            <w:r w:rsidRPr="00D71A4F">
              <w:rPr>
                <w:rFonts w:ascii="Arial" w:hAnsi="Arial" w:cs="Arial"/>
                <w:b/>
                <w:sz w:val="20"/>
              </w:rPr>
              <w:t xml:space="preserve">NHS Standard Contract – including </w:t>
            </w:r>
          </w:p>
          <w:p w14:paraId="0F48D050" w14:textId="50F235AA" w:rsidR="00552E75" w:rsidRPr="00D71A4F" w:rsidRDefault="00552E75" w:rsidP="00552E75">
            <w:pPr>
              <w:spacing w:after="0" w:line="259" w:lineRule="auto"/>
              <w:ind w:left="0" w:firstLine="0"/>
              <w:rPr>
                <w:rFonts w:ascii="Arial" w:hAnsi="Arial" w:cs="Arial"/>
              </w:rPr>
            </w:pPr>
            <w:r w:rsidRPr="00D71A4F">
              <w:rPr>
                <w:rFonts w:ascii="Arial" w:hAnsi="Arial" w:cs="Arial"/>
                <w:b/>
                <w:sz w:val="20"/>
              </w:rPr>
              <w:t>retinal photographs, referral letters etc.</w:t>
            </w:r>
          </w:p>
        </w:tc>
        <w:tc>
          <w:tcPr>
            <w:tcW w:w="2410" w:type="dxa"/>
          </w:tcPr>
          <w:p w14:paraId="6989E8C3" w14:textId="77777777" w:rsidR="00552E75" w:rsidRPr="00D71A4F" w:rsidRDefault="00552E75" w:rsidP="00552E75">
            <w:pPr>
              <w:spacing w:after="361" w:line="241" w:lineRule="auto"/>
              <w:ind w:left="0" w:right="5" w:firstLine="0"/>
              <w:rPr>
                <w:rFonts w:ascii="Arial" w:hAnsi="Arial" w:cs="Arial"/>
              </w:rPr>
            </w:pPr>
            <w:r w:rsidRPr="00D71A4F">
              <w:rPr>
                <w:rFonts w:ascii="Arial" w:hAnsi="Arial" w:cs="Arial"/>
                <w:sz w:val="20"/>
              </w:rPr>
              <w:t xml:space="preserve">The condition for processing special category data - the provision of health care.  The lawful basis - legitimate interests </w:t>
            </w:r>
          </w:p>
          <w:p w14:paraId="776C4D93" w14:textId="77777777" w:rsidR="00552E75" w:rsidRPr="00D71A4F" w:rsidRDefault="00552E75">
            <w:pPr>
              <w:spacing w:after="0" w:line="259" w:lineRule="auto"/>
              <w:ind w:left="0" w:firstLine="0"/>
              <w:rPr>
                <w:rFonts w:ascii="Arial" w:hAnsi="Arial" w:cs="Arial"/>
              </w:rPr>
            </w:pPr>
          </w:p>
        </w:tc>
        <w:tc>
          <w:tcPr>
            <w:tcW w:w="2268" w:type="dxa"/>
          </w:tcPr>
          <w:p w14:paraId="10E8E94E" w14:textId="56A676FC" w:rsidR="00552E75" w:rsidRPr="00D71A4F" w:rsidRDefault="00552E75">
            <w:pPr>
              <w:spacing w:after="0" w:line="259" w:lineRule="auto"/>
              <w:ind w:left="0" w:firstLine="0"/>
              <w:rPr>
                <w:rFonts w:ascii="Arial" w:hAnsi="Arial" w:cs="Arial"/>
              </w:rPr>
            </w:pPr>
            <w:r w:rsidRPr="00D71A4F">
              <w:rPr>
                <w:rFonts w:ascii="Arial" w:hAnsi="Arial" w:cs="Arial"/>
                <w:sz w:val="20"/>
              </w:rPr>
              <w:t xml:space="preserve">Registered health care professionals and those under their supervision  </w:t>
            </w:r>
          </w:p>
        </w:tc>
        <w:tc>
          <w:tcPr>
            <w:tcW w:w="2410" w:type="dxa"/>
          </w:tcPr>
          <w:p w14:paraId="524B1433" w14:textId="47EFBBCC" w:rsidR="00552E75" w:rsidRPr="00D71A4F" w:rsidRDefault="00552E75">
            <w:pPr>
              <w:spacing w:after="0" w:line="259" w:lineRule="auto"/>
              <w:ind w:left="0" w:firstLine="0"/>
              <w:rPr>
                <w:rFonts w:ascii="Arial" w:hAnsi="Arial" w:cs="Arial"/>
              </w:rPr>
            </w:pPr>
            <w:r w:rsidRPr="00D71A4F">
              <w:rPr>
                <w:rFonts w:ascii="Arial" w:hAnsi="Arial" w:cs="Arial"/>
                <w:sz w:val="20"/>
              </w:rPr>
              <w:t>The NHS specifies 7 years or, in the case of children under 18, until their 25</w:t>
            </w:r>
            <w:r w:rsidRPr="00D71A4F">
              <w:rPr>
                <w:rFonts w:ascii="Arial" w:hAnsi="Arial" w:cs="Arial"/>
                <w:sz w:val="20"/>
                <w:vertAlign w:val="superscript"/>
              </w:rPr>
              <w:t>th</w:t>
            </w:r>
            <w:r w:rsidRPr="00D71A4F">
              <w:rPr>
                <w:rFonts w:ascii="Arial" w:hAnsi="Arial" w:cs="Arial"/>
                <w:sz w:val="20"/>
              </w:rPr>
              <w:t xml:space="preserve"> birthday. Accepted good practice in the profession is that records should be kept for 10 years after last contact with the patient.  </w:t>
            </w:r>
          </w:p>
        </w:tc>
        <w:tc>
          <w:tcPr>
            <w:tcW w:w="4394" w:type="dxa"/>
          </w:tcPr>
          <w:p w14:paraId="2552D194" w14:textId="7EA5A146" w:rsidR="00552E75" w:rsidRPr="00D71A4F" w:rsidRDefault="00552E75">
            <w:pPr>
              <w:spacing w:after="0" w:line="259" w:lineRule="auto"/>
              <w:ind w:left="0" w:firstLine="0"/>
              <w:rPr>
                <w:rFonts w:ascii="Arial" w:hAnsi="Arial" w:cs="Arial"/>
              </w:rPr>
            </w:pPr>
            <w:r w:rsidRPr="00D71A4F">
              <w:rPr>
                <w:rFonts w:ascii="Arial" w:hAnsi="Arial" w:cs="Arial"/>
                <w:sz w:val="20"/>
              </w:rPr>
              <w:t>Only registered health care staff have access to the complete patient record. All registered staff comply with GOC standards, which ensure they respect patient confidentiality. Paper records are kept securely. Electronic data is password protected, employees can only access the information essential for their role, all employees have passwords so there is an audit of any changes made, there is also a back-up system that means data can be restored. All anti-virus software and other software are kept up to date</w:t>
            </w:r>
          </w:p>
        </w:tc>
      </w:tr>
      <w:tr w:rsidR="00552E75" w:rsidRPr="00D71A4F" w14:paraId="12B2F429" w14:textId="77777777" w:rsidTr="00552E75">
        <w:tc>
          <w:tcPr>
            <w:tcW w:w="1843" w:type="dxa"/>
          </w:tcPr>
          <w:p w14:paraId="3ED240D4" w14:textId="77777777" w:rsidR="00552E75" w:rsidRPr="00D71A4F" w:rsidRDefault="00552E75" w:rsidP="00552E75">
            <w:pPr>
              <w:spacing w:after="0" w:line="259" w:lineRule="auto"/>
              <w:ind w:left="0" w:firstLine="0"/>
              <w:rPr>
                <w:rFonts w:ascii="Arial" w:hAnsi="Arial" w:cs="Arial"/>
              </w:rPr>
            </w:pPr>
            <w:r w:rsidRPr="00D71A4F">
              <w:rPr>
                <w:rFonts w:ascii="Arial" w:hAnsi="Arial" w:cs="Arial"/>
                <w:b/>
                <w:sz w:val="20"/>
              </w:rPr>
              <w:t xml:space="preserve">Customer </w:t>
            </w:r>
          </w:p>
          <w:p w14:paraId="0946867D" w14:textId="230DEA8C" w:rsidR="00552E75" w:rsidRPr="00D71A4F" w:rsidRDefault="00552E75" w:rsidP="00552E75">
            <w:pPr>
              <w:spacing w:after="0" w:line="259" w:lineRule="auto"/>
              <w:ind w:left="0" w:firstLine="0"/>
              <w:rPr>
                <w:rFonts w:ascii="Arial" w:hAnsi="Arial" w:cs="Arial"/>
              </w:rPr>
            </w:pPr>
            <w:r w:rsidRPr="00D71A4F">
              <w:rPr>
                <w:rFonts w:ascii="Arial" w:hAnsi="Arial" w:cs="Arial"/>
                <w:b/>
                <w:sz w:val="20"/>
              </w:rPr>
              <w:t xml:space="preserve">records – </w:t>
            </w:r>
            <w:r w:rsidRPr="00D71A4F">
              <w:rPr>
                <w:rFonts w:ascii="Arial" w:hAnsi="Arial" w:cs="Arial"/>
                <w:sz w:val="20"/>
              </w:rPr>
              <w:t>e.g. direct debit/payment details</w:t>
            </w:r>
          </w:p>
        </w:tc>
        <w:tc>
          <w:tcPr>
            <w:tcW w:w="2410" w:type="dxa"/>
          </w:tcPr>
          <w:p w14:paraId="71A21098" w14:textId="01EF14C6" w:rsidR="00552E75" w:rsidRPr="00D71A4F" w:rsidRDefault="00552E75">
            <w:pPr>
              <w:spacing w:after="0" w:line="259" w:lineRule="auto"/>
              <w:ind w:left="0" w:firstLine="0"/>
              <w:rPr>
                <w:rFonts w:ascii="Arial" w:hAnsi="Arial" w:cs="Arial"/>
              </w:rPr>
            </w:pPr>
            <w:r w:rsidRPr="00D71A4F">
              <w:rPr>
                <w:rFonts w:ascii="Arial" w:hAnsi="Arial" w:cs="Arial"/>
                <w:sz w:val="20"/>
              </w:rPr>
              <w:t xml:space="preserve">Legitimate interest  </w:t>
            </w:r>
          </w:p>
        </w:tc>
        <w:tc>
          <w:tcPr>
            <w:tcW w:w="2268" w:type="dxa"/>
          </w:tcPr>
          <w:p w14:paraId="71639758" w14:textId="1D9C2502" w:rsidR="00552E75" w:rsidRPr="00D71A4F" w:rsidRDefault="00552E75">
            <w:pPr>
              <w:spacing w:after="0" w:line="259" w:lineRule="auto"/>
              <w:ind w:left="0" w:firstLine="0"/>
              <w:rPr>
                <w:rFonts w:ascii="Arial" w:hAnsi="Arial" w:cs="Arial"/>
              </w:rPr>
            </w:pPr>
            <w:r w:rsidRPr="00D71A4F">
              <w:rPr>
                <w:rFonts w:ascii="Arial" w:hAnsi="Arial" w:cs="Arial"/>
                <w:sz w:val="20"/>
              </w:rPr>
              <w:t>The data subject’s bank</w:t>
            </w:r>
          </w:p>
        </w:tc>
        <w:tc>
          <w:tcPr>
            <w:tcW w:w="2410" w:type="dxa"/>
          </w:tcPr>
          <w:p w14:paraId="14B1FC30" w14:textId="3EC70AC5" w:rsidR="00552E75" w:rsidRPr="00D71A4F" w:rsidRDefault="00552E75">
            <w:pPr>
              <w:spacing w:after="0" w:line="259" w:lineRule="auto"/>
              <w:ind w:left="0" w:firstLine="0"/>
              <w:rPr>
                <w:rFonts w:ascii="Arial" w:hAnsi="Arial" w:cs="Arial"/>
              </w:rPr>
            </w:pPr>
            <w:r w:rsidRPr="00D71A4F">
              <w:rPr>
                <w:rFonts w:ascii="Arial" w:hAnsi="Arial" w:cs="Arial"/>
                <w:sz w:val="20"/>
              </w:rPr>
              <w:t>Kept for tax purposes and future claims/information</w:t>
            </w:r>
          </w:p>
        </w:tc>
        <w:tc>
          <w:tcPr>
            <w:tcW w:w="4394" w:type="dxa"/>
          </w:tcPr>
          <w:p w14:paraId="0B24829A" w14:textId="578756C9" w:rsidR="00552E75" w:rsidRPr="00D71A4F" w:rsidRDefault="00552E75" w:rsidP="00552E75">
            <w:pPr>
              <w:spacing w:after="0" w:line="242" w:lineRule="auto"/>
              <w:ind w:left="1" w:firstLine="0"/>
              <w:rPr>
                <w:rFonts w:ascii="Arial" w:hAnsi="Arial" w:cs="Arial"/>
              </w:rPr>
            </w:pPr>
            <w:r w:rsidRPr="00D71A4F">
              <w:rPr>
                <w:rFonts w:ascii="Arial" w:hAnsi="Arial" w:cs="Arial"/>
                <w:sz w:val="20"/>
              </w:rPr>
              <w:t xml:space="preserve">Paper records are kept securely. Electronic data is password protected, employees can only access the information essential for their role and receive appropriate training for their role. All employees have passwords so there is an audit of any changes made, there is also a back-up system that means data can be restored. All anti-virus software and other software are kept up to date.   </w:t>
            </w:r>
          </w:p>
        </w:tc>
      </w:tr>
      <w:tr w:rsidR="00552E75" w:rsidRPr="00D71A4F" w14:paraId="24391BEB" w14:textId="77777777" w:rsidTr="00552E75">
        <w:tc>
          <w:tcPr>
            <w:tcW w:w="1843" w:type="dxa"/>
          </w:tcPr>
          <w:p w14:paraId="4848D5B4" w14:textId="46B34DFC" w:rsidR="00552E75" w:rsidRPr="00D71A4F" w:rsidRDefault="00552E75" w:rsidP="00552E75">
            <w:pPr>
              <w:spacing w:after="0" w:line="242" w:lineRule="auto"/>
              <w:ind w:left="0" w:firstLine="0"/>
              <w:rPr>
                <w:rFonts w:ascii="Arial" w:hAnsi="Arial" w:cs="Arial"/>
              </w:rPr>
            </w:pPr>
            <w:r w:rsidRPr="00D71A4F">
              <w:rPr>
                <w:rFonts w:ascii="Arial" w:hAnsi="Arial" w:cs="Arial"/>
                <w:b/>
                <w:sz w:val="20"/>
              </w:rPr>
              <w:t xml:space="preserve">Staff records– includes bank </w:t>
            </w:r>
          </w:p>
          <w:p w14:paraId="2D3B36DB" w14:textId="77777777" w:rsidR="00552E75" w:rsidRPr="00D71A4F" w:rsidRDefault="00552E75" w:rsidP="00552E75">
            <w:pPr>
              <w:spacing w:after="0" w:line="259" w:lineRule="auto"/>
              <w:ind w:left="0" w:firstLine="0"/>
              <w:rPr>
                <w:rFonts w:ascii="Arial" w:hAnsi="Arial" w:cs="Arial"/>
              </w:rPr>
            </w:pPr>
            <w:r w:rsidRPr="00D71A4F">
              <w:rPr>
                <w:rFonts w:ascii="Arial" w:hAnsi="Arial" w:cs="Arial"/>
                <w:b/>
                <w:sz w:val="20"/>
              </w:rPr>
              <w:t xml:space="preserve">details, NI </w:t>
            </w:r>
          </w:p>
          <w:p w14:paraId="764D94CB" w14:textId="53B42894" w:rsidR="00552E75" w:rsidRPr="00D71A4F" w:rsidRDefault="00552E75" w:rsidP="00552E75">
            <w:pPr>
              <w:spacing w:after="0" w:line="259" w:lineRule="auto"/>
              <w:ind w:left="0" w:firstLine="0"/>
              <w:rPr>
                <w:rFonts w:ascii="Arial" w:hAnsi="Arial" w:cs="Arial"/>
              </w:rPr>
            </w:pPr>
            <w:r w:rsidRPr="00D71A4F">
              <w:rPr>
                <w:rFonts w:ascii="Arial" w:hAnsi="Arial" w:cs="Arial"/>
                <w:b/>
                <w:sz w:val="20"/>
              </w:rPr>
              <w:t xml:space="preserve">number, and other personal information </w:t>
            </w:r>
            <w:r w:rsidRPr="00D71A4F">
              <w:rPr>
                <w:rFonts w:ascii="Arial" w:hAnsi="Arial" w:cs="Arial"/>
                <w:sz w:val="20"/>
              </w:rPr>
              <w:t xml:space="preserve"> </w:t>
            </w:r>
          </w:p>
        </w:tc>
        <w:tc>
          <w:tcPr>
            <w:tcW w:w="2410" w:type="dxa"/>
          </w:tcPr>
          <w:p w14:paraId="0E60A281" w14:textId="77777777" w:rsidR="00552E75" w:rsidRPr="00D71A4F" w:rsidRDefault="00552E75" w:rsidP="00552E75">
            <w:pPr>
              <w:spacing w:after="361" w:line="241" w:lineRule="auto"/>
              <w:ind w:left="1" w:right="44" w:firstLine="0"/>
              <w:rPr>
                <w:rFonts w:ascii="Arial" w:hAnsi="Arial" w:cs="Arial"/>
              </w:rPr>
            </w:pPr>
            <w:r w:rsidRPr="00D71A4F">
              <w:rPr>
                <w:rFonts w:ascii="Arial" w:hAnsi="Arial" w:cs="Arial"/>
                <w:sz w:val="20"/>
              </w:rPr>
              <w:t xml:space="preserve">Any special category data, the condition is processing is necessary for carrying out obligations as an employer. </w:t>
            </w:r>
          </w:p>
          <w:p w14:paraId="2C46DCB9" w14:textId="77777777" w:rsidR="00552E75" w:rsidRPr="00D71A4F" w:rsidRDefault="00552E75" w:rsidP="00552E75">
            <w:pPr>
              <w:spacing w:after="1" w:line="241" w:lineRule="auto"/>
              <w:ind w:left="1" w:firstLine="0"/>
              <w:rPr>
                <w:rFonts w:ascii="Arial" w:hAnsi="Arial" w:cs="Arial"/>
              </w:rPr>
            </w:pPr>
            <w:r w:rsidRPr="00D71A4F">
              <w:rPr>
                <w:rFonts w:ascii="Arial" w:hAnsi="Arial" w:cs="Arial"/>
                <w:sz w:val="20"/>
              </w:rPr>
              <w:t xml:space="preserve">Lawful basis: performance of a contract with the data subject or to take steps to enter into a contract, legal obligation (tax) and legitimate interests </w:t>
            </w:r>
          </w:p>
          <w:p w14:paraId="19523007" w14:textId="358E5EFA" w:rsidR="00552E75" w:rsidRPr="00D71A4F" w:rsidRDefault="00552E75" w:rsidP="00552E75">
            <w:pPr>
              <w:spacing w:after="0" w:line="259" w:lineRule="auto"/>
              <w:ind w:left="0" w:firstLine="0"/>
              <w:rPr>
                <w:rFonts w:ascii="Arial" w:hAnsi="Arial" w:cs="Arial"/>
              </w:rPr>
            </w:pPr>
            <w:r w:rsidRPr="00D71A4F">
              <w:rPr>
                <w:rFonts w:ascii="Arial" w:hAnsi="Arial" w:cs="Arial"/>
                <w:sz w:val="20"/>
              </w:rPr>
              <w:t xml:space="preserve">(absence monitoring).  </w:t>
            </w:r>
          </w:p>
        </w:tc>
        <w:tc>
          <w:tcPr>
            <w:tcW w:w="2268" w:type="dxa"/>
          </w:tcPr>
          <w:p w14:paraId="76A4E020" w14:textId="77777777" w:rsidR="00552E75" w:rsidRPr="00D71A4F" w:rsidRDefault="00552E75" w:rsidP="00552E75">
            <w:pPr>
              <w:spacing w:after="0" w:line="242" w:lineRule="auto"/>
              <w:ind w:left="1" w:firstLine="0"/>
              <w:rPr>
                <w:rFonts w:ascii="Arial" w:hAnsi="Arial" w:cs="Arial"/>
              </w:rPr>
            </w:pPr>
            <w:r w:rsidRPr="00D71A4F">
              <w:rPr>
                <w:rFonts w:ascii="Arial" w:hAnsi="Arial" w:cs="Arial"/>
                <w:sz w:val="20"/>
              </w:rPr>
              <w:t xml:space="preserve">HR (including payroll) and </w:t>
            </w:r>
          </w:p>
          <w:p w14:paraId="01092ED3" w14:textId="2E373100" w:rsidR="00552E75" w:rsidRPr="00D71A4F" w:rsidRDefault="00552E75" w:rsidP="00552E75">
            <w:pPr>
              <w:spacing w:after="0" w:line="259" w:lineRule="auto"/>
              <w:ind w:left="0" w:firstLine="0"/>
              <w:rPr>
                <w:rFonts w:ascii="Arial" w:hAnsi="Arial" w:cs="Arial"/>
              </w:rPr>
            </w:pPr>
            <w:r w:rsidRPr="00D71A4F">
              <w:rPr>
                <w:rFonts w:ascii="Arial" w:hAnsi="Arial" w:cs="Arial"/>
                <w:sz w:val="20"/>
              </w:rPr>
              <w:t>senior management only</w:t>
            </w:r>
          </w:p>
        </w:tc>
        <w:tc>
          <w:tcPr>
            <w:tcW w:w="2410" w:type="dxa"/>
          </w:tcPr>
          <w:p w14:paraId="5856038E" w14:textId="488EEB04" w:rsidR="00552E75" w:rsidRPr="00D71A4F" w:rsidRDefault="00552E75">
            <w:pPr>
              <w:spacing w:after="0" w:line="259" w:lineRule="auto"/>
              <w:ind w:left="0" w:firstLine="0"/>
              <w:rPr>
                <w:rFonts w:ascii="Arial" w:hAnsi="Arial" w:cs="Arial"/>
              </w:rPr>
            </w:pPr>
            <w:r w:rsidRPr="00D71A4F">
              <w:rPr>
                <w:rFonts w:ascii="Arial" w:hAnsi="Arial" w:cs="Arial"/>
                <w:sz w:val="20"/>
              </w:rPr>
              <w:t xml:space="preserve">Kept for tax purposes and future claims/information  </w:t>
            </w:r>
          </w:p>
        </w:tc>
        <w:tc>
          <w:tcPr>
            <w:tcW w:w="4394" w:type="dxa"/>
          </w:tcPr>
          <w:p w14:paraId="274DB2AB" w14:textId="77777777" w:rsidR="00552E75" w:rsidRPr="00D71A4F" w:rsidRDefault="00552E75" w:rsidP="00552E75">
            <w:pPr>
              <w:spacing w:after="0" w:line="242" w:lineRule="auto"/>
              <w:ind w:left="1" w:firstLine="0"/>
              <w:rPr>
                <w:rFonts w:ascii="Arial" w:hAnsi="Arial" w:cs="Arial"/>
              </w:rPr>
            </w:pPr>
            <w:r w:rsidRPr="00D71A4F">
              <w:rPr>
                <w:rFonts w:ascii="Arial" w:hAnsi="Arial" w:cs="Arial"/>
                <w:sz w:val="20"/>
              </w:rPr>
              <w:t xml:space="preserve">Paper records are kept securely. Electronic data is password protected, employees can only access the information essential for </w:t>
            </w:r>
          </w:p>
          <w:p w14:paraId="76D3538C" w14:textId="6ACC059D" w:rsidR="00552E75" w:rsidRPr="00D71A4F" w:rsidRDefault="00552E75" w:rsidP="00552E75">
            <w:pPr>
              <w:spacing w:after="0" w:line="259" w:lineRule="auto"/>
              <w:ind w:left="0" w:firstLine="0"/>
              <w:rPr>
                <w:rFonts w:ascii="Arial" w:hAnsi="Arial" w:cs="Arial"/>
              </w:rPr>
            </w:pPr>
            <w:r w:rsidRPr="00D71A4F">
              <w:rPr>
                <w:rFonts w:ascii="Arial" w:hAnsi="Arial" w:cs="Arial"/>
                <w:sz w:val="20"/>
              </w:rPr>
              <w:t xml:space="preserve">their role and receive appropriate training for their role. All employees have passwords so there is an audit of any changes made, there is also a back-up system that means data can be restored. All anti-virus software and other software are kept up to date.   </w:t>
            </w:r>
          </w:p>
        </w:tc>
      </w:tr>
    </w:tbl>
    <w:p w14:paraId="73774BFF" w14:textId="77777777" w:rsidR="007476E2" w:rsidRPr="00D71A4F" w:rsidRDefault="007476E2">
      <w:pPr>
        <w:spacing w:after="0" w:line="259" w:lineRule="auto"/>
        <w:ind w:left="-5"/>
        <w:rPr>
          <w:rFonts w:ascii="Arial" w:hAnsi="Arial" w:cs="Arial"/>
        </w:rPr>
      </w:pPr>
    </w:p>
    <w:p w14:paraId="3781BBE0" w14:textId="77777777" w:rsidR="007176C1" w:rsidRPr="00D71A4F" w:rsidRDefault="008D7D89">
      <w:pPr>
        <w:spacing w:after="0" w:line="259" w:lineRule="auto"/>
        <w:ind w:left="0" w:firstLine="0"/>
        <w:rPr>
          <w:rFonts w:ascii="Arial" w:hAnsi="Arial" w:cs="Arial"/>
        </w:rPr>
      </w:pPr>
      <w:r w:rsidRPr="00D71A4F">
        <w:rPr>
          <w:rFonts w:ascii="Arial" w:hAnsi="Arial" w:cs="Arial"/>
          <w:b/>
        </w:rPr>
        <w:t xml:space="preserve"> </w:t>
      </w:r>
    </w:p>
    <w:p w14:paraId="1DEFF4C5" w14:textId="77777777" w:rsidR="007176C1" w:rsidRPr="00D71A4F" w:rsidRDefault="008D7D89">
      <w:pPr>
        <w:spacing w:after="232" w:line="259" w:lineRule="auto"/>
        <w:ind w:left="0" w:firstLine="0"/>
        <w:rPr>
          <w:rFonts w:ascii="Arial" w:hAnsi="Arial" w:cs="Arial"/>
        </w:rPr>
      </w:pPr>
      <w:r w:rsidRPr="00D71A4F">
        <w:rPr>
          <w:rFonts w:ascii="Arial" w:hAnsi="Arial" w:cs="Arial"/>
          <w:b/>
        </w:rPr>
        <w:t xml:space="preserve"> </w:t>
      </w:r>
    </w:p>
    <w:p w14:paraId="198DD913" w14:textId="77777777" w:rsidR="007176C1" w:rsidRPr="00D71A4F" w:rsidRDefault="008D7D89">
      <w:pPr>
        <w:spacing w:after="0" w:line="259" w:lineRule="auto"/>
        <w:ind w:left="0" w:firstLine="0"/>
        <w:jc w:val="both"/>
        <w:rPr>
          <w:rFonts w:ascii="Arial" w:hAnsi="Arial" w:cs="Arial"/>
        </w:rPr>
      </w:pPr>
      <w:r w:rsidRPr="00D71A4F">
        <w:rPr>
          <w:rFonts w:ascii="Arial" w:hAnsi="Arial" w:cs="Arial"/>
          <w:b/>
        </w:rPr>
        <w:t xml:space="preserve"> </w:t>
      </w:r>
      <w:r w:rsidRPr="00D71A4F">
        <w:rPr>
          <w:rFonts w:ascii="Arial" w:hAnsi="Arial" w:cs="Arial"/>
          <w:b/>
        </w:rPr>
        <w:tab/>
        <w:t xml:space="preserve"> </w:t>
      </w:r>
    </w:p>
    <w:p w14:paraId="78446D7F" w14:textId="77777777" w:rsidR="00540A44" w:rsidRDefault="00540A44">
      <w:pPr>
        <w:spacing w:after="160" w:line="259" w:lineRule="auto"/>
        <w:ind w:left="0" w:firstLine="0"/>
        <w:rPr>
          <w:rFonts w:ascii="Arial" w:hAnsi="Arial" w:cs="Arial"/>
          <w:b/>
        </w:rPr>
      </w:pPr>
      <w:r>
        <w:rPr>
          <w:rFonts w:ascii="Arial" w:hAnsi="Arial" w:cs="Arial"/>
        </w:rPr>
        <w:br w:type="page"/>
      </w:r>
    </w:p>
    <w:p w14:paraId="71CD6785" w14:textId="56CFAD9E" w:rsidR="007176C1" w:rsidRPr="00D71A4F" w:rsidRDefault="008D7D89">
      <w:pPr>
        <w:pStyle w:val="Heading1"/>
        <w:spacing w:after="0"/>
        <w:ind w:left="-5" w:right="0"/>
        <w:rPr>
          <w:rFonts w:ascii="Arial" w:hAnsi="Arial" w:cs="Arial"/>
        </w:rPr>
      </w:pPr>
      <w:bookmarkStart w:id="27" w:name="_Toc30768839"/>
      <w:r w:rsidRPr="00D71A4F">
        <w:rPr>
          <w:rFonts w:ascii="Arial" w:hAnsi="Arial" w:cs="Arial"/>
        </w:rPr>
        <w:t>Annex B – LAWFUL BASES FOR PROCESSING PERSONAL DATA</w:t>
      </w:r>
      <w:bookmarkEnd w:id="27"/>
      <w:r w:rsidRPr="00D71A4F">
        <w:rPr>
          <w:rFonts w:ascii="Arial" w:hAnsi="Arial" w:cs="Arial"/>
        </w:rPr>
        <w:t xml:space="preserve"> </w:t>
      </w:r>
    </w:p>
    <w:p w14:paraId="70094D4E" w14:textId="77777777" w:rsidR="007176C1" w:rsidRPr="00D71A4F" w:rsidRDefault="008D7D89">
      <w:pPr>
        <w:spacing w:after="0" w:line="259" w:lineRule="auto"/>
        <w:ind w:left="0" w:firstLine="0"/>
        <w:rPr>
          <w:rFonts w:ascii="Arial" w:hAnsi="Arial" w:cs="Arial"/>
        </w:rPr>
      </w:pPr>
      <w:r w:rsidRPr="00D71A4F">
        <w:rPr>
          <w:rFonts w:ascii="Arial" w:hAnsi="Arial" w:cs="Arial"/>
          <w:b/>
        </w:rPr>
        <w:t xml:space="preserve"> </w:t>
      </w:r>
    </w:p>
    <w:p w14:paraId="2FE78A12" w14:textId="77777777" w:rsidR="007176C1" w:rsidRPr="00D71A4F" w:rsidRDefault="008D7D89">
      <w:pPr>
        <w:ind w:left="-5" w:right="11"/>
        <w:rPr>
          <w:rFonts w:ascii="Arial" w:hAnsi="Arial" w:cs="Arial"/>
          <w:sz w:val="20"/>
          <w:szCs w:val="20"/>
        </w:rPr>
      </w:pPr>
      <w:r w:rsidRPr="00D71A4F">
        <w:rPr>
          <w:rFonts w:ascii="Arial" w:hAnsi="Arial" w:cs="Arial"/>
          <w:sz w:val="20"/>
          <w:szCs w:val="20"/>
        </w:rPr>
        <w:t xml:space="preserve">Practices and businesses will need to have </w:t>
      </w:r>
      <w:r w:rsidRPr="00D71A4F">
        <w:rPr>
          <w:rFonts w:ascii="Arial" w:hAnsi="Arial" w:cs="Arial"/>
          <w:b/>
          <w:sz w:val="20"/>
          <w:szCs w:val="20"/>
        </w:rPr>
        <w:t>at least one</w:t>
      </w:r>
      <w:r w:rsidRPr="00D71A4F">
        <w:rPr>
          <w:rFonts w:ascii="Arial" w:hAnsi="Arial" w:cs="Arial"/>
          <w:sz w:val="20"/>
          <w:szCs w:val="20"/>
        </w:rPr>
        <w:t xml:space="preserve"> lawful basis for each processing activity. </w:t>
      </w:r>
    </w:p>
    <w:p w14:paraId="60A89B32" w14:textId="637311ED" w:rsidR="007176C1" w:rsidRPr="00D71A4F" w:rsidRDefault="008D7D89">
      <w:pPr>
        <w:spacing w:after="0"/>
        <w:ind w:left="-5" w:right="11"/>
        <w:rPr>
          <w:rFonts w:ascii="Arial" w:hAnsi="Arial" w:cs="Arial"/>
          <w:sz w:val="20"/>
          <w:szCs w:val="20"/>
        </w:rPr>
      </w:pPr>
      <w:r w:rsidRPr="00D71A4F">
        <w:rPr>
          <w:rFonts w:ascii="Arial" w:hAnsi="Arial" w:cs="Arial"/>
          <w:sz w:val="20"/>
          <w:szCs w:val="20"/>
        </w:rPr>
        <w:t xml:space="preserve">Practices will need to have </w:t>
      </w:r>
      <w:r w:rsidRPr="00D71A4F">
        <w:rPr>
          <w:rFonts w:ascii="Arial" w:hAnsi="Arial" w:cs="Arial"/>
          <w:b/>
          <w:sz w:val="20"/>
          <w:szCs w:val="20"/>
        </w:rPr>
        <w:t>at least one</w:t>
      </w:r>
      <w:r w:rsidRPr="00D71A4F">
        <w:rPr>
          <w:rFonts w:ascii="Arial" w:hAnsi="Arial" w:cs="Arial"/>
          <w:sz w:val="20"/>
          <w:szCs w:val="20"/>
        </w:rPr>
        <w:t xml:space="preserve"> lawful basis for processing personal data from Table 1. In addition, when processing special category personal data, such as health information, they will also need one condition for processing from Table 2. </w:t>
      </w:r>
    </w:p>
    <w:p w14:paraId="72F36B98" w14:textId="77777777" w:rsidR="00E2169C" w:rsidRPr="00D71A4F" w:rsidRDefault="00E2169C" w:rsidP="00E2169C">
      <w:pPr>
        <w:spacing w:after="0"/>
        <w:ind w:left="-5" w:right="11"/>
        <w:rPr>
          <w:rFonts w:ascii="Arial" w:hAnsi="Arial" w:cs="Arial"/>
          <w:sz w:val="12"/>
          <w:szCs w:val="12"/>
        </w:rPr>
      </w:pPr>
    </w:p>
    <w:p w14:paraId="6E58E5C1" w14:textId="274DE914" w:rsidR="00E2169C" w:rsidRPr="00D71A4F" w:rsidRDefault="00E2169C" w:rsidP="00E2169C">
      <w:pPr>
        <w:spacing w:after="0"/>
        <w:ind w:left="-5" w:right="11"/>
        <w:rPr>
          <w:rFonts w:ascii="Arial" w:hAnsi="Arial" w:cs="Arial"/>
          <w:sz w:val="20"/>
          <w:szCs w:val="20"/>
        </w:rPr>
      </w:pPr>
      <w:r w:rsidRPr="00D71A4F">
        <w:rPr>
          <w:rFonts w:ascii="Arial" w:hAnsi="Arial" w:cs="Arial"/>
          <w:sz w:val="20"/>
          <w:szCs w:val="20"/>
        </w:rPr>
        <w:t>Table 1</w:t>
      </w:r>
    </w:p>
    <w:tbl>
      <w:tblPr>
        <w:tblStyle w:val="TableGrid"/>
        <w:tblW w:w="13603" w:type="dxa"/>
        <w:tblInd w:w="6" w:type="dxa"/>
        <w:tblCellMar>
          <w:top w:w="44" w:type="dxa"/>
          <w:left w:w="107" w:type="dxa"/>
          <w:right w:w="115" w:type="dxa"/>
        </w:tblCellMar>
        <w:tblLook w:val="04A0" w:firstRow="1" w:lastRow="0" w:firstColumn="1" w:lastColumn="0" w:noHBand="0" w:noVBand="1"/>
      </w:tblPr>
      <w:tblGrid>
        <w:gridCol w:w="6516"/>
        <w:gridCol w:w="7087"/>
      </w:tblGrid>
      <w:tr w:rsidR="007176C1" w:rsidRPr="00D71A4F" w14:paraId="7B573795" w14:textId="77777777" w:rsidTr="00E2169C">
        <w:trPr>
          <w:trHeight w:val="369"/>
        </w:trPr>
        <w:tc>
          <w:tcPr>
            <w:tcW w:w="6516" w:type="dxa"/>
            <w:tcBorders>
              <w:top w:val="single" w:sz="4" w:space="0" w:color="000000"/>
              <w:left w:val="single" w:sz="4" w:space="0" w:color="000000"/>
              <w:bottom w:val="single" w:sz="4" w:space="0" w:color="000000"/>
              <w:right w:val="single" w:sz="4" w:space="0" w:color="000000"/>
            </w:tcBorders>
            <w:shd w:val="clear" w:color="auto" w:fill="002060"/>
          </w:tcPr>
          <w:p w14:paraId="3F56B205" w14:textId="77777777" w:rsidR="007176C1" w:rsidRPr="00D71A4F" w:rsidRDefault="008D7D89">
            <w:pPr>
              <w:tabs>
                <w:tab w:val="center" w:pos="3663"/>
              </w:tabs>
              <w:spacing w:after="0" w:line="259" w:lineRule="auto"/>
              <w:ind w:left="0" w:firstLine="0"/>
              <w:rPr>
                <w:rFonts w:ascii="Arial" w:hAnsi="Arial" w:cs="Arial"/>
                <w:bCs/>
                <w:sz w:val="20"/>
                <w:szCs w:val="20"/>
              </w:rPr>
            </w:pPr>
            <w:r w:rsidRPr="00D71A4F">
              <w:rPr>
                <w:rFonts w:ascii="Arial" w:hAnsi="Arial" w:cs="Arial"/>
                <w:bCs/>
                <w:color w:val="FFFFFF"/>
                <w:sz w:val="20"/>
                <w:szCs w:val="20"/>
              </w:rPr>
              <w:t xml:space="preserve">Lawful basis for processing personal data </w:t>
            </w:r>
            <w:r w:rsidRPr="00D71A4F">
              <w:rPr>
                <w:rFonts w:ascii="Arial" w:hAnsi="Arial" w:cs="Arial"/>
                <w:bCs/>
                <w:color w:val="FFFFFF"/>
                <w:sz w:val="20"/>
                <w:szCs w:val="20"/>
              </w:rPr>
              <w:tab/>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002060"/>
          </w:tcPr>
          <w:p w14:paraId="7BF83005" w14:textId="77777777" w:rsidR="007176C1" w:rsidRPr="00D71A4F" w:rsidRDefault="008D7D89">
            <w:pPr>
              <w:spacing w:after="0" w:line="259" w:lineRule="auto"/>
              <w:ind w:left="1" w:firstLine="0"/>
              <w:rPr>
                <w:rFonts w:ascii="Arial" w:hAnsi="Arial" w:cs="Arial"/>
                <w:bCs/>
                <w:sz w:val="20"/>
                <w:szCs w:val="20"/>
              </w:rPr>
            </w:pPr>
            <w:r w:rsidRPr="00D71A4F">
              <w:rPr>
                <w:rFonts w:ascii="Arial" w:hAnsi="Arial" w:cs="Arial"/>
                <w:bCs/>
                <w:color w:val="FFFFFF"/>
                <w:sz w:val="20"/>
                <w:szCs w:val="20"/>
              </w:rPr>
              <w:t xml:space="preserve">Notes  </w:t>
            </w:r>
          </w:p>
        </w:tc>
      </w:tr>
      <w:tr w:rsidR="007176C1" w:rsidRPr="00D71A4F" w14:paraId="10678B35" w14:textId="77777777" w:rsidTr="00E2169C">
        <w:trPr>
          <w:trHeight w:val="1717"/>
        </w:trPr>
        <w:tc>
          <w:tcPr>
            <w:tcW w:w="6516" w:type="dxa"/>
            <w:tcBorders>
              <w:top w:val="single" w:sz="4" w:space="0" w:color="000000"/>
              <w:left w:val="single" w:sz="4" w:space="0" w:color="000000"/>
              <w:bottom w:val="single" w:sz="4" w:space="0" w:color="000000"/>
              <w:right w:val="single" w:sz="4" w:space="0" w:color="000000"/>
            </w:tcBorders>
            <w:shd w:val="clear" w:color="auto" w:fill="DBE5F1"/>
          </w:tcPr>
          <w:p w14:paraId="5BFC546D"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sz w:val="20"/>
                <w:szCs w:val="20"/>
              </w:rPr>
              <w:t xml:space="preserve">1. </w:t>
            </w:r>
            <w:r w:rsidRPr="00D71A4F">
              <w:rPr>
                <w:rFonts w:ascii="Arial" w:hAnsi="Arial" w:cs="Arial"/>
                <w:b/>
                <w:sz w:val="20"/>
                <w:szCs w:val="20"/>
              </w:rPr>
              <w:t>Consent</w:t>
            </w:r>
            <w:r w:rsidRPr="00D71A4F">
              <w:rPr>
                <w:rFonts w:ascii="Arial" w:hAnsi="Arial" w:cs="Arial"/>
                <w:sz w:val="20"/>
                <w:szCs w:val="20"/>
              </w:rPr>
              <w:t xml:space="preserve"> of the data subject </w:t>
            </w:r>
          </w:p>
        </w:tc>
        <w:tc>
          <w:tcPr>
            <w:tcW w:w="7087" w:type="dxa"/>
            <w:tcBorders>
              <w:top w:val="single" w:sz="4" w:space="0" w:color="000000"/>
              <w:left w:val="single" w:sz="4" w:space="0" w:color="000000"/>
              <w:bottom w:val="single" w:sz="4" w:space="0" w:color="000000"/>
              <w:right w:val="single" w:sz="4" w:space="0" w:color="000000"/>
            </w:tcBorders>
            <w:shd w:val="clear" w:color="auto" w:fill="DBE5F1"/>
          </w:tcPr>
          <w:p w14:paraId="7A3FB8D4" w14:textId="77777777" w:rsidR="007176C1" w:rsidRPr="00D71A4F" w:rsidRDefault="008D7D89">
            <w:pPr>
              <w:spacing w:after="0" w:line="259" w:lineRule="auto"/>
              <w:ind w:left="1" w:firstLine="0"/>
              <w:rPr>
                <w:rFonts w:ascii="Arial" w:hAnsi="Arial" w:cs="Arial"/>
                <w:sz w:val="20"/>
                <w:szCs w:val="20"/>
              </w:rPr>
            </w:pPr>
            <w:r w:rsidRPr="00D71A4F">
              <w:rPr>
                <w:rFonts w:ascii="Arial" w:hAnsi="Arial" w:cs="Arial"/>
                <w:sz w:val="20"/>
                <w:szCs w:val="20"/>
              </w:rPr>
              <w:t xml:space="preserve">Should </w:t>
            </w:r>
            <w:r w:rsidRPr="00D71A4F">
              <w:rPr>
                <w:rFonts w:ascii="Arial" w:hAnsi="Arial" w:cs="Arial"/>
                <w:b/>
                <w:sz w:val="20"/>
                <w:szCs w:val="20"/>
              </w:rPr>
              <w:t>NOT</w:t>
            </w:r>
            <w:r w:rsidRPr="00D71A4F">
              <w:rPr>
                <w:rFonts w:ascii="Arial" w:hAnsi="Arial" w:cs="Arial"/>
                <w:sz w:val="20"/>
                <w:szCs w:val="20"/>
              </w:rPr>
              <w:t xml:space="preserve"> be used as the lawful basis for health records or employee records. </w:t>
            </w:r>
          </w:p>
          <w:p w14:paraId="79A2980B" w14:textId="77777777" w:rsidR="007176C1" w:rsidRPr="00D71A4F" w:rsidRDefault="008D7D89">
            <w:pPr>
              <w:spacing w:after="1" w:line="241" w:lineRule="auto"/>
              <w:ind w:left="1" w:firstLine="0"/>
              <w:rPr>
                <w:rFonts w:ascii="Arial" w:hAnsi="Arial" w:cs="Arial"/>
                <w:sz w:val="20"/>
                <w:szCs w:val="20"/>
              </w:rPr>
            </w:pPr>
            <w:r w:rsidRPr="00D71A4F">
              <w:rPr>
                <w:rFonts w:ascii="Arial" w:hAnsi="Arial" w:cs="Arial"/>
                <w:sz w:val="20"/>
                <w:szCs w:val="20"/>
              </w:rPr>
              <w:t xml:space="preserve">Most likely to be the lawful basis when data is processed for marketing purposes. Please note that there are other regulations to consider when using personal data for marketing. For more details on marketing please also see the </w:t>
            </w:r>
            <w:hyperlink r:id="rId67">
              <w:r w:rsidRPr="00D71A4F">
                <w:rPr>
                  <w:rFonts w:ascii="Arial" w:hAnsi="Arial" w:cs="Arial"/>
                  <w:color w:val="0000FF"/>
                  <w:sz w:val="20"/>
                  <w:szCs w:val="20"/>
                  <w:u w:val="single" w:color="0000FF"/>
                </w:rPr>
                <w:t>ICO guidance on</w:t>
              </w:r>
            </w:hyperlink>
            <w:hyperlink r:id="rId68">
              <w:r w:rsidRPr="00D71A4F">
                <w:rPr>
                  <w:rFonts w:ascii="Arial" w:hAnsi="Arial" w:cs="Arial"/>
                  <w:color w:val="0000FF"/>
                  <w:sz w:val="20"/>
                  <w:szCs w:val="20"/>
                </w:rPr>
                <w:t xml:space="preserve"> </w:t>
              </w:r>
            </w:hyperlink>
            <w:hyperlink r:id="rId69">
              <w:r w:rsidRPr="00D71A4F">
                <w:rPr>
                  <w:rFonts w:ascii="Arial" w:hAnsi="Arial" w:cs="Arial"/>
                  <w:color w:val="0000FF"/>
                  <w:sz w:val="20"/>
                  <w:szCs w:val="20"/>
                  <w:u w:val="single" w:color="0000FF"/>
                </w:rPr>
                <w:t>direct marketing</w:t>
              </w:r>
            </w:hyperlink>
            <w:hyperlink r:id="rId70">
              <w:r w:rsidRPr="00D71A4F">
                <w:rPr>
                  <w:rFonts w:ascii="Arial" w:hAnsi="Arial" w:cs="Arial"/>
                  <w:sz w:val="20"/>
                  <w:szCs w:val="20"/>
                </w:rPr>
                <w:t>.</w:t>
              </w:r>
            </w:hyperlink>
            <w:r w:rsidRPr="00D71A4F">
              <w:rPr>
                <w:rFonts w:ascii="Arial" w:hAnsi="Arial" w:cs="Arial"/>
                <w:sz w:val="20"/>
                <w:szCs w:val="20"/>
              </w:rPr>
              <w:t xml:space="preserve"> </w:t>
            </w:r>
          </w:p>
          <w:p w14:paraId="6DAFE816" w14:textId="77777777" w:rsidR="007176C1" w:rsidRPr="00D71A4F" w:rsidRDefault="008D7D89">
            <w:pPr>
              <w:spacing w:after="0" w:line="259" w:lineRule="auto"/>
              <w:ind w:left="1" w:firstLine="0"/>
              <w:rPr>
                <w:rFonts w:ascii="Arial" w:hAnsi="Arial" w:cs="Arial"/>
                <w:sz w:val="20"/>
                <w:szCs w:val="20"/>
              </w:rPr>
            </w:pPr>
            <w:r w:rsidRPr="00D71A4F">
              <w:rPr>
                <w:rFonts w:ascii="Arial" w:hAnsi="Arial" w:cs="Arial"/>
                <w:sz w:val="20"/>
                <w:szCs w:val="20"/>
              </w:rPr>
              <w:t xml:space="preserve">Also note that the EU is giving consideration to reforming the existing e-Privacy Directive, with the aim of harmonising it with the GDPR. </w:t>
            </w:r>
          </w:p>
        </w:tc>
      </w:tr>
      <w:tr w:rsidR="007176C1" w:rsidRPr="00D71A4F" w14:paraId="73B10248" w14:textId="77777777" w:rsidTr="00E2169C">
        <w:trPr>
          <w:trHeight w:val="502"/>
        </w:trPr>
        <w:tc>
          <w:tcPr>
            <w:tcW w:w="6516" w:type="dxa"/>
            <w:tcBorders>
              <w:top w:val="single" w:sz="4" w:space="0" w:color="000000"/>
              <w:left w:val="single" w:sz="4" w:space="0" w:color="000000"/>
              <w:bottom w:val="single" w:sz="4" w:space="0" w:color="000000"/>
              <w:right w:val="single" w:sz="4" w:space="0" w:color="000000"/>
            </w:tcBorders>
          </w:tcPr>
          <w:p w14:paraId="6F54236D"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sz w:val="20"/>
                <w:szCs w:val="20"/>
              </w:rPr>
              <w:t xml:space="preserve">2.Processing is necessary for the </w:t>
            </w:r>
            <w:r w:rsidRPr="00D71A4F">
              <w:rPr>
                <w:rFonts w:ascii="Arial" w:hAnsi="Arial" w:cs="Arial"/>
                <w:b/>
                <w:sz w:val="20"/>
                <w:szCs w:val="20"/>
              </w:rPr>
              <w:t>performance of a contract</w:t>
            </w:r>
            <w:r w:rsidRPr="00D71A4F">
              <w:rPr>
                <w:rFonts w:ascii="Arial" w:hAnsi="Arial" w:cs="Arial"/>
                <w:sz w:val="20"/>
                <w:szCs w:val="20"/>
              </w:rPr>
              <w:t xml:space="preserve"> with the data subject or to take steps to enter into a contract </w:t>
            </w:r>
          </w:p>
        </w:tc>
        <w:tc>
          <w:tcPr>
            <w:tcW w:w="7087" w:type="dxa"/>
            <w:tcBorders>
              <w:top w:val="single" w:sz="4" w:space="0" w:color="000000"/>
              <w:left w:val="single" w:sz="4" w:space="0" w:color="000000"/>
              <w:bottom w:val="single" w:sz="4" w:space="0" w:color="000000"/>
              <w:right w:val="single" w:sz="4" w:space="0" w:color="000000"/>
            </w:tcBorders>
          </w:tcPr>
          <w:p w14:paraId="09E00F20" w14:textId="77777777" w:rsidR="007176C1" w:rsidRPr="00D71A4F" w:rsidRDefault="008D7D89">
            <w:pPr>
              <w:spacing w:after="0" w:line="259" w:lineRule="auto"/>
              <w:ind w:left="1" w:firstLine="0"/>
              <w:rPr>
                <w:rFonts w:ascii="Arial" w:hAnsi="Arial" w:cs="Arial"/>
                <w:sz w:val="20"/>
                <w:szCs w:val="20"/>
              </w:rPr>
            </w:pPr>
            <w:r w:rsidRPr="00D71A4F">
              <w:rPr>
                <w:rFonts w:ascii="Arial" w:hAnsi="Arial" w:cs="Arial"/>
                <w:sz w:val="20"/>
                <w:szCs w:val="20"/>
              </w:rPr>
              <w:t xml:space="preserve">Employment contracts and data held on employees that is consistent with the contract of employment. </w:t>
            </w:r>
          </w:p>
        </w:tc>
      </w:tr>
      <w:tr w:rsidR="007176C1" w:rsidRPr="00D71A4F" w14:paraId="619DB1A5" w14:textId="77777777" w:rsidTr="00E2169C">
        <w:trPr>
          <w:trHeight w:val="495"/>
        </w:trPr>
        <w:tc>
          <w:tcPr>
            <w:tcW w:w="6516" w:type="dxa"/>
            <w:tcBorders>
              <w:top w:val="single" w:sz="4" w:space="0" w:color="000000"/>
              <w:left w:val="single" w:sz="4" w:space="0" w:color="000000"/>
              <w:bottom w:val="single" w:sz="4" w:space="0" w:color="000000"/>
              <w:right w:val="single" w:sz="4" w:space="0" w:color="000000"/>
            </w:tcBorders>
            <w:shd w:val="clear" w:color="auto" w:fill="DBE5F1"/>
          </w:tcPr>
          <w:p w14:paraId="68B1852E"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sz w:val="20"/>
                <w:szCs w:val="20"/>
              </w:rPr>
              <w:t xml:space="preserve">3.Processing is necessary for </w:t>
            </w:r>
            <w:r w:rsidRPr="00D71A4F">
              <w:rPr>
                <w:rFonts w:ascii="Arial" w:hAnsi="Arial" w:cs="Arial"/>
                <w:b/>
                <w:sz w:val="20"/>
                <w:szCs w:val="20"/>
              </w:rPr>
              <w:t>compliance with a legal obligation</w:t>
            </w:r>
            <w:r w:rsidRPr="00D71A4F">
              <w:rPr>
                <w:rFonts w:ascii="Arial" w:hAnsi="Arial" w:cs="Arial"/>
                <w:sz w:val="20"/>
                <w:szCs w:val="20"/>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BE5F1"/>
          </w:tcPr>
          <w:p w14:paraId="7D4F2DD1" w14:textId="77777777" w:rsidR="007176C1" w:rsidRPr="00D71A4F" w:rsidRDefault="008D7D89">
            <w:pPr>
              <w:spacing w:after="0" w:line="259" w:lineRule="auto"/>
              <w:ind w:left="1" w:firstLine="0"/>
              <w:rPr>
                <w:rFonts w:ascii="Arial" w:hAnsi="Arial" w:cs="Arial"/>
                <w:sz w:val="20"/>
                <w:szCs w:val="20"/>
              </w:rPr>
            </w:pPr>
            <w:r w:rsidRPr="00D71A4F">
              <w:rPr>
                <w:rFonts w:ascii="Arial" w:hAnsi="Arial" w:cs="Arial"/>
                <w:sz w:val="20"/>
                <w:szCs w:val="20"/>
              </w:rPr>
              <w:t xml:space="preserve">Might be used by a practice, for example to comply with tax law. It is not necessary to cite each specific piece of legislation. </w:t>
            </w:r>
          </w:p>
        </w:tc>
      </w:tr>
      <w:tr w:rsidR="007176C1" w:rsidRPr="00D71A4F" w14:paraId="7FA270D0" w14:textId="77777777" w:rsidTr="00E2169C">
        <w:trPr>
          <w:trHeight w:val="502"/>
        </w:trPr>
        <w:tc>
          <w:tcPr>
            <w:tcW w:w="6516" w:type="dxa"/>
            <w:tcBorders>
              <w:top w:val="single" w:sz="4" w:space="0" w:color="000000"/>
              <w:left w:val="single" w:sz="4" w:space="0" w:color="000000"/>
              <w:bottom w:val="single" w:sz="4" w:space="0" w:color="000000"/>
              <w:right w:val="single" w:sz="4" w:space="0" w:color="000000"/>
            </w:tcBorders>
          </w:tcPr>
          <w:p w14:paraId="79B4F78E"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sz w:val="20"/>
                <w:szCs w:val="20"/>
              </w:rPr>
              <w:t xml:space="preserve">4.Processing is  necessary to protect the vital </w:t>
            </w:r>
            <w:r w:rsidRPr="00D71A4F">
              <w:rPr>
                <w:rFonts w:ascii="Arial" w:hAnsi="Arial" w:cs="Arial"/>
                <w:b/>
                <w:sz w:val="20"/>
                <w:szCs w:val="20"/>
              </w:rPr>
              <w:t>interests</w:t>
            </w:r>
            <w:r w:rsidRPr="00D71A4F">
              <w:rPr>
                <w:rFonts w:ascii="Arial" w:hAnsi="Arial" w:cs="Arial"/>
                <w:sz w:val="20"/>
                <w:szCs w:val="20"/>
              </w:rPr>
              <w:t xml:space="preserve"> of a data subject or another person </w:t>
            </w:r>
          </w:p>
        </w:tc>
        <w:tc>
          <w:tcPr>
            <w:tcW w:w="7087" w:type="dxa"/>
            <w:tcBorders>
              <w:top w:val="single" w:sz="4" w:space="0" w:color="000000"/>
              <w:left w:val="single" w:sz="4" w:space="0" w:color="000000"/>
              <w:bottom w:val="single" w:sz="4" w:space="0" w:color="000000"/>
              <w:right w:val="single" w:sz="4" w:space="0" w:color="000000"/>
            </w:tcBorders>
          </w:tcPr>
          <w:p w14:paraId="2E8A0304" w14:textId="77777777" w:rsidR="007176C1" w:rsidRPr="00D71A4F" w:rsidRDefault="008D7D89">
            <w:pPr>
              <w:spacing w:after="0" w:line="259" w:lineRule="auto"/>
              <w:ind w:left="1" w:firstLine="0"/>
              <w:rPr>
                <w:rFonts w:ascii="Arial" w:hAnsi="Arial" w:cs="Arial"/>
                <w:sz w:val="20"/>
                <w:szCs w:val="20"/>
              </w:rPr>
            </w:pPr>
            <w:r w:rsidRPr="00D71A4F">
              <w:rPr>
                <w:rFonts w:ascii="Arial" w:hAnsi="Arial" w:cs="Arial"/>
                <w:sz w:val="20"/>
                <w:szCs w:val="20"/>
              </w:rPr>
              <w:t xml:space="preserve">Unlikely to be used by optical practices and businesses. </w:t>
            </w:r>
          </w:p>
        </w:tc>
      </w:tr>
      <w:tr w:rsidR="007176C1" w:rsidRPr="00D71A4F" w14:paraId="6EE0C1DD" w14:textId="77777777" w:rsidTr="00E2169C">
        <w:trPr>
          <w:trHeight w:val="494"/>
        </w:trPr>
        <w:tc>
          <w:tcPr>
            <w:tcW w:w="6516" w:type="dxa"/>
            <w:tcBorders>
              <w:top w:val="single" w:sz="4" w:space="0" w:color="000000"/>
              <w:left w:val="single" w:sz="4" w:space="0" w:color="000000"/>
              <w:bottom w:val="single" w:sz="4" w:space="0" w:color="000000"/>
              <w:right w:val="single" w:sz="4" w:space="0" w:color="000000"/>
            </w:tcBorders>
            <w:shd w:val="clear" w:color="auto" w:fill="DBE5F1"/>
          </w:tcPr>
          <w:p w14:paraId="15CEDCE4"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sz w:val="20"/>
                <w:szCs w:val="20"/>
              </w:rPr>
              <w:t xml:space="preserve">5.Processing is necessary for the performance of a task carried out in the </w:t>
            </w:r>
            <w:r w:rsidRPr="00D71A4F">
              <w:rPr>
                <w:rFonts w:ascii="Arial" w:hAnsi="Arial" w:cs="Arial"/>
                <w:b/>
                <w:sz w:val="20"/>
                <w:szCs w:val="20"/>
              </w:rPr>
              <w:t>public interest</w:t>
            </w:r>
            <w:r w:rsidRPr="00D71A4F">
              <w:rPr>
                <w:rFonts w:ascii="Arial" w:hAnsi="Arial" w:cs="Arial"/>
                <w:sz w:val="20"/>
                <w:szCs w:val="20"/>
              </w:rPr>
              <w:t xml:space="preserve"> or in the exercise of official authority vested in the controller </w:t>
            </w:r>
          </w:p>
        </w:tc>
        <w:tc>
          <w:tcPr>
            <w:tcW w:w="7087" w:type="dxa"/>
            <w:tcBorders>
              <w:top w:val="single" w:sz="4" w:space="0" w:color="000000"/>
              <w:left w:val="single" w:sz="4" w:space="0" w:color="000000"/>
              <w:bottom w:val="single" w:sz="4" w:space="0" w:color="000000"/>
              <w:right w:val="single" w:sz="4" w:space="0" w:color="000000"/>
            </w:tcBorders>
            <w:shd w:val="clear" w:color="auto" w:fill="DBE5F1"/>
          </w:tcPr>
          <w:p w14:paraId="3BFCDE16" w14:textId="77777777" w:rsidR="007176C1" w:rsidRPr="00D71A4F" w:rsidRDefault="008D7D89">
            <w:pPr>
              <w:spacing w:after="0" w:line="259" w:lineRule="auto"/>
              <w:ind w:left="1" w:firstLine="0"/>
              <w:rPr>
                <w:rFonts w:ascii="Arial" w:hAnsi="Arial" w:cs="Arial"/>
                <w:sz w:val="20"/>
                <w:szCs w:val="20"/>
              </w:rPr>
            </w:pPr>
            <w:r w:rsidRPr="00D71A4F">
              <w:rPr>
                <w:rFonts w:ascii="Arial" w:hAnsi="Arial" w:cs="Arial"/>
                <w:sz w:val="20"/>
                <w:szCs w:val="20"/>
              </w:rPr>
              <w:t xml:space="preserve">Most likely to be the lawful basis for processing health record for GOS patients. As special category data lawful processing also requires a condition from Table 2. </w:t>
            </w:r>
          </w:p>
        </w:tc>
      </w:tr>
      <w:tr w:rsidR="007176C1" w:rsidRPr="00D71A4F" w14:paraId="65BBD3A9" w14:textId="77777777" w:rsidTr="00E2169C">
        <w:trPr>
          <w:trHeight w:val="1056"/>
        </w:trPr>
        <w:tc>
          <w:tcPr>
            <w:tcW w:w="6516" w:type="dxa"/>
            <w:tcBorders>
              <w:top w:val="single" w:sz="4" w:space="0" w:color="000000"/>
              <w:left w:val="single" w:sz="4" w:space="0" w:color="000000"/>
              <w:bottom w:val="single" w:sz="4" w:space="0" w:color="000000"/>
              <w:right w:val="single" w:sz="4" w:space="0" w:color="000000"/>
            </w:tcBorders>
          </w:tcPr>
          <w:p w14:paraId="3F7A2D40"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sz w:val="20"/>
                <w:szCs w:val="20"/>
              </w:rPr>
              <w:t xml:space="preserve">6.Necessary for the purposes of </w:t>
            </w:r>
            <w:r w:rsidRPr="00D71A4F">
              <w:rPr>
                <w:rFonts w:ascii="Arial" w:hAnsi="Arial" w:cs="Arial"/>
                <w:b/>
                <w:sz w:val="20"/>
                <w:szCs w:val="20"/>
              </w:rPr>
              <w:t>legitimate interests</w:t>
            </w:r>
            <w:r w:rsidRPr="00D71A4F">
              <w:rPr>
                <w:rFonts w:ascii="Arial" w:hAnsi="Arial" w:cs="Arial"/>
                <w:sz w:val="20"/>
                <w:szCs w:val="20"/>
              </w:rPr>
              <w:t xml:space="preserve"> pursued by the controller or a third party, except where such interests are overridden by the interests, rights or freedoms of the data subject (Note that this condition is not available to processing carried out by public authorities in the performance of their tasks). </w:t>
            </w:r>
          </w:p>
        </w:tc>
        <w:tc>
          <w:tcPr>
            <w:tcW w:w="7087" w:type="dxa"/>
            <w:tcBorders>
              <w:top w:val="single" w:sz="4" w:space="0" w:color="000000"/>
              <w:left w:val="single" w:sz="4" w:space="0" w:color="000000"/>
              <w:bottom w:val="single" w:sz="4" w:space="0" w:color="000000"/>
              <w:right w:val="single" w:sz="4" w:space="0" w:color="000000"/>
            </w:tcBorders>
          </w:tcPr>
          <w:p w14:paraId="4D26D4BA" w14:textId="77777777" w:rsidR="007176C1" w:rsidRPr="00D71A4F" w:rsidRDefault="008D7D89">
            <w:pPr>
              <w:spacing w:after="0" w:line="259" w:lineRule="auto"/>
              <w:ind w:left="1" w:firstLine="0"/>
              <w:rPr>
                <w:rFonts w:ascii="Arial" w:hAnsi="Arial" w:cs="Arial"/>
                <w:sz w:val="20"/>
                <w:szCs w:val="20"/>
              </w:rPr>
            </w:pPr>
            <w:r w:rsidRPr="00D71A4F">
              <w:rPr>
                <w:rFonts w:ascii="Arial" w:hAnsi="Arial" w:cs="Arial"/>
                <w:sz w:val="20"/>
                <w:szCs w:val="20"/>
              </w:rPr>
              <w:t xml:space="preserve">Likely to be the lawful basis for health records for private patients and NHS patients treated through the NHS Standard Contract. May be used as the lawful basis for marketing to patients and others. Lawful processing for any special category data also requires a condition from Table 2. </w:t>
            </w:r>
          </w:p>
        </w:tc>
      </w:tr>
    </w:tbl>
    <w:p w14:paraId="220ECCC1" w14:textId="7F73A36C" w:rsidR="007176C1" w:rsidRPr="00D71A4F" w:rsidRDefault="008D7D89" w:rsidP="00E2169C">
      <w:pPr>
        <w:spacing w:after="0" w:line="259" w:lineRule="auto"/>
        <w:ind w:left="0" w:firstLine="0"/>
        <w:rPr>
          <w:rFonts w:ascii="Arial" w:hAnsi="Arial" w:cs="Arial"/>
          <w:sz w:val="18"/>
          <w:szCs w:val="18"/>
        </w:rPr>
      </w:pPr>
      <w:r w:rsidRPr="00D71A4F">
        <w:rPr>
          <w:rFonts w:ascii="Arial" w:hAnsi="Arial" w:cs="Arial"/>
          <w:b/>
          <w:sz w:val="20"/>
        </w:rPr>
        <w:t xml:space="preserve"> </w:t>
      </w:r>
      <w:r w:rsidRPr="00D71A4F">
        <w:rPr>
          <w:rFonts w:ascii="Arial" w:hAnsi="Arial" w:cs="Arial"/>
          <w:b/>
          <w:sz w:val="18"/>
          <w:szCs w:val="18"/>
        </w:rPr>
        <w:t xml:space="preserve">Table 1: </w:t>
      </w:r>
      <w:r w:rsidRPr="00D71A4F">
        <w:rPr>
          <w:rFonts w:ascii="Arial" w:hAnsi="Arial" w:cs="Arial"/>
          <w:sz w:val="18"/>
          <w:szCs w:val="18"/>
        </w:rPr>
        <w:t xml:space="preserve">Legal basis for processing personal data, modified ICO table: source </w:t>
      </w:r>
      <w:hyperlink r:id="rId71">
        <w:r w:rsidRPr="00D71A4F">
          <w:rPr>
            <w:rFonts w:ascii="Arial" w:hAnsi="Arial" w:cs="Arial"/>
            <w:color w:val="0000FF"/>
            <w:sz w:val="18"/>
            <w:szCs w:val="18"/>
            <w:u w:val="single" w:color="0000FF"/>
          </w:rPr>
          <w:t>https://ico.org.uk/for</w:t>
        </w:r>
      </w:hyperlink>
      <w:hyperlink r:id="rId72">
        <w:r w:rsidRPr="00D71A4F">
          <w:rPr>
            <w:rFonts w:ascii="Arial" w:hAnsi="Arial" w:cs="Arial"/>
            <w:color w:val="0000FF"/>
            <w:sz w:val="18"/>
            <w:szCs w:val="18"/>
            <w:u w:val="single" w:color="0000FF"/>
          </w:rPr>
          <w:t>-</w:t>
        </w:r>
      </w:hyperlink>
      <w:hyperlink r:id="rId73">
        <w:r w:rsidRPr="00D71A4F">
          <w:rPr>
            <w:rFonts w:ascii="Arial" w:hAnsi="Arial" w:cs="Arial"/>
            <w:color w:val="0000FF"/>
            <w:sz w:val="18"/>
            <w:szCs w:val="18"/>
            <w:u w:val="single" w:color="0000FF"/>
          </w:rPr>
          <w:t>organisations/data</w:t>
        </w:r>
      </w:hyperlink>
      <w:hyperlink r:id="rId74">
        <w:r w:rsidRPr="00D71A4F">
          <w:rPr>
            <w:rFonts w:ascii="Arial" w:hAnsi="Arial" w:cs="Arial"/>
            <w:color w:val="0000FF"/>
            <w:sz w:val="18"/>
            <w:szCs w:val="18"/>
            <w:u w:val="single" w:color="0000FF"/>
          </w:rPr>
          <w:t>-</w:t>
        </w:r>
      </w:hyperlink>
      <w:hyperlink r:id="rId75">
        <w:r w:rsidRPr="00D71A4F">
          <w:rPr>
            <w:rFonts w:ascii="Arial" w:hAnsi="Arial" w:cs="Arial"/>
            <w:color w:val="0000FF"/>
            <w:sz w:val="18"/>
            <w:szCs w:val="18"/>
            <w:u w:val="single" w:color="0000FF"/>
          </w:rPr>
          <w:t>protection</w:t>
        </w:r>
      </w:hyperlink>
      <w:hyperlink r:id="rId76">
        <w:r w:rsidRPr="00D71A4F">
          <w:rPr>
            <w:rFonts w:ascii="Arial" w:hAnsi="Arial" w:cs="Arial"/>
            <w:color w:val="0000FF"/>
            <w:sz w:val="18"/>
            <w:szCs w:val="18"/>
            <w:u w:val="single" w:color="0000FF"/>
          </w:rPr>
          <w:t>-</w:t>
        </w:r>
      </w:hyperlink>
      <w:hyperlink r:id="rId77">
        <w:r w:rsidRPr="00D71A4F">
          <w:rPr>
            <w:rFonts w:ascii="Arial" w:hAnsi="Arial" w:cs="Arial"/>
            <w:color w:val="0000FF"/>
            <w:sz w:val="18"/>
            <w:szCs w:val="18"/>
            <w:u w:val="single" w:color="0000FF"/>
          </w:rPr>
          <w:t>reform/overview</w:t>
        </w:r>
      </w:hyperlink>
      <w:hyperlink r:id="rId78">
        <w:r w:rsidRPr="00D71A4F">
          <w:rPr>
            <w:rFonts w:ascii="Arial" w:hAnsi="Arial" w:cs="Arial"/>
            <w:color w:val="0000FF"/>
            <w:sz w:val="18"/>
            <w:szCs w:val="18"/>
            <w:u w:val="single" w:color="0000FF"/>
          </w:rPr>
          <w:t>-</w:t>
        </w:r>
      </w:hyperlink>
      <w:hyperlink r:id="rId79">
        <w:r w:rsidRPr="00D71A4F">
          <w:rPr>
            <w:rFonts w:ascii="Arial" w:hAnsi="Arial" w:cs="Arial"/>
            <w:color w:val="0000FF"/>
            <w:sz w:val="18"/>
            <w:szCs w:val="18"/>
            <w:u w:val="single" w:color="0000FF"/>
          </w:rPr>
          <w:t>of</w:t>
        </w:r>
      </w:hyperlink>
      <w:hyperlink r:id="rId80">
        <w:r w:rsidRPr="00D71A4F">
          <w:rPr>
            <w:rFonts w:ascii="Arial" w:hAnsi="Arial" w:cs="Arial"/>
            <w:color w:val="0000FF"/>
            <w:sz w:val="18"/>
            <w:szCs w:val="18"/>
            <w:u w:val="single" w:color="0000FF"/>
          </w:rPr>
          <w:t>-</w:t>
        </w:r>
      </w:hyperlink>
      <w:hyperlink r:id="rId81">
        <w:r w:rsidRPr="00D71A4F">
          <w:rPr>
            <w:rFonts w:ascii="Arial" w:hAnsi="Arial" w:cs="Arial"/>
            <w:color w:val="0000FF"/>
            <w:sz w:val="18"/>
            <w:szCs w:val="18"/>
            <w:u w:val="single" w:color="0000FF"/>
          </w:rPr>
          <w:t>the</w:t>
        </w:r>
      </w:hyperlink>
      <w:hyperlink r:id="rId82"/>
      <w:hyperlink r:id="rId83">
        <w:r w:rsidRPr="00D71A4F">
          <w:rPr>
            <w:rFonts w:ascii="Arial" w:hAnsi="Arial" w:cs="Arial"/>
            <w:color w:val="0000FF"/>
            <w:sz w:val="18"/>
            <w:szCs w:val="18"/>
            <w:u w:val="single" w:color="0000FF"/>
          </w:rPr>
          <w:t>gdpr/key</w:t>
        </w:r>
      </w:hyperlink>
      <w:hyperlink r:id="rId84">
        <w:r w:rsidRPr="00D71A4F">
          <w:rPr>
            <w:rFonts w:ascii="Arial" w:hAnsi="Arial" w:cs="Arial"/>
            <w:color w:val="0000FF"/>
            <w:sz w:val="18"/>
            <w:szCs w:val="18"/>
            <w:u w:val="single" w:color="0000FF"/>
          </w:rPr>
          <w:t>-</w:t>
        </w:r>
      </w:hyperlink>
      <w:hyperlink r:id="rId85">
        <w:r w:rsidRPr="00D71A4F">
          <w:rPr>
            <w:rFonts w:ascii="Arial" w:hAnsi="Arial" w:cs="Arial"/>
            <w:color w:val="0000FF"/>
            <w:sz w:val="18"/>
            <w:szCs w:val="18"/>
            <w:u w:val="single" w:color="0000FF"/>
          </w:rPr>
          <w:t>areas</w:t>
        </w:r>
      </w:hyperlink>
      <w:hyperlink r:id="rId86">
        <w:r w:rsidRPr="00D71A4F">
          <w:rPr>
            <w:rFonts w:ascii="Arial" w:hAnsi="Arial" w:cs="Arial"/>
            <w:color w:val="0000FF"/>
            <w:sz w:val="18"/>
            <w:szCs w:val="18"/>
            <w:u w:val="single" w:color="0000FF"/>
          </w:rPr>
          <w:t>-</w:t>
        </w:r>
      </w:hyperlink>
      <w:hyperlink r:id="rId87">
        <w:r w:rsidRPr="00D71A4F">
          <w:rPr>
            <w:rFonts w:ascii="Arial" w:hAnsi="Arial" w:cs="Arial"/>
            <w:color w:val="0000FF"/>
            <w:sz w:val="18"/>
            <w:szCs w:val="18"/>
            <w:u w:val="single" w:color="0000FF"/>
          </w:rPr>
          <w:t>to</w:t>
        </w:r>
      </w:hyperlink>
      <w:hyperlink r:id="rId88">
        <w:r w:rsidRPr="00D71A4F">
          <w:rPr>
            <w:rFonts w:ascii="Arial" w:hAnsi="Arial" w:cs="Arial"/>
            <w:color w:val="0000FF"/>
            <w:sz w:val="18"/>
            <w:szCs w:val="18"/>
            <w:u w:val="single" w:color="0000FF"/>
          </w:rPr>
          <w:t>-</w:t>
        </w:r>
      </w:hyperlink>
      <w:hyperlink r:id="rId89">
        <w:r w:rsidRPr="00D71A4F">
          <w:rPr>
            <w:rFonts w:ascii="Arial" w:hAnsi="Arial" w:cs="Arial"/>
            <w:color w:val="0000FF"/>
            <w:sz w:val="18"/>
            <w:szCs w:val="18"/>
            <w:u w:val="single" w:color="0000FF"/>
          </w:rPr>
          <w:t>consider/</w:t>
        </w:r>
      </w:hyperlink>
      <w:hyperlink r:id="rId90">
        <w:r w:rsidRPr="00D71A4F">
          <w:rPr>
            <w:rFonts w:ascii="Arial" w:hAnsi="Arial" w:cs="Arial"/>
            <w:sz w:val="18"/>
            <w:szCs w:val="18"/>
          </w:rPr>
          <w:t xml:space="preserve"> </w:t>
        </w:r>
      </w:hyperlink>
    </w:p>
    <w:p w14:paraId="7BC35C7D" w14:textId="77777777" w:rsidR="00540A44" w:rsidRDefault="00540A44" w:rsidP="00E2169C">
      <w:pPr>
        <w:spacing w:after="0"/>
        <w:ind w:left="-426" w:right="11" w:firstLine="0"/>
        <w:rPr>
          <w:rFonts w:ascii="Arial" w:hAnsi="Arial" w:cs="Arial"/>
          <w:sz w:val="20"/>
          <w:szCs w:val="20"/>
        </w:rPr>
      </w:pPr>
    </w:p>
    <w:p w14:paraId="347D9DA6" w14:textId="77777777" w:rsidR="00540A44" w:rsidRDefault="00540A44" w:rsidP="00E2169C">
      <w:pPr>
        <w:spacing w:after="0"/>
        <w:ind w:left="-426" w:right="11" w:firstLine="0"/>
        <w:rPr>
          <w:rFonts w:ascii="Arial" w:hAnsi="Arial" w:cs="Arial"/>
          <w:sz w:val="20"/>
          <w:szCs w:val="20"/>
        </w:rPr>
      </w:pPr>
    </w:p>
    <w:p w14:paraId="25EF6B01" w14:textId="77777777" w:rsidR="00540A44" w:rsidRDefault="00540A44" w:rsidP="00E2169C">
      <w:pPr>
        <w:spacing w:after="0"/>
        <w:ind w:left="-426" w:right="11" w:firstLine="0"/>
        <w:rPr>
          <w:rFonts w:ascii="Arial" w:hAnsi="Arial" w:cs="Arial"/>
          <w:sz w:val="20"/>
          <w:szCs w:val="20"/>
        </w:rPr>
      </w:pPr>
    </w:p>
    <w:p w14:paraId="2CD1DE35" w14:textId="5215B5E1" w:rsidR="007176C1" w:rsidRPr="00D71A4F" w:rsidRDefault="008D7D89" w:rsidP="00E2169C">
      <w:pPr>
        <w:spacing w:after="0"/>
        <w:ind w:left="-426" w:right="11" w:firstLine="0"/>
        <w:rPr>
          <w:rFonts w:ascii="Arial" w:hAnsi="Arial" w:cs="Arial"/>
          <w:sz w:val="20"/>
          <w:szCs w:val="20"/>
        </w:rPr>
      </w:pPr>
      <w:r w:rsidRPr="00D71A4F">
        <w:rPr>
          <w:rFonts w:ascii="Arial" w:hAnsi="Arial" w:cs="Arial"/>
          <w:sz w:val="20"/>
          <w:szCs w:val="20"/>
        </w:rPr>
        <w:t xml:space="preserve">Table 2 </w:t>
      </w:r>
    </w:p>
    <w:tbl>
      <w:tblPr>
        <w:tblStyle w:val="TableGrid"/>
        <w:tblW w:w="14126" w:type="dxa"/>
        <w:tblInd w:w="-431" w:type="dxa"/>
        <w:tblCellMar>
          <w:top w:w="45" w:type="dxa"/>
          <w:left w:w="107" w:type="dxa"/>
          <w:right w:w="115" w:type="dxa"/>
        </w:tblCellMar>
        <w:tblLook w:val="04A0" w:firstRow="1" w:lastRow="0" w:firstColumn="1" w:lastColumn="0" w:noHBand="0" w:noVBand="1"/>
      </w:tblPr>
      <w:tblGrid>
        <w:gridCol w:w="8648"/>
        <w:gridCol w:w="5478"/>
      </w:tblGrid>
      <w:tr w:rsidR="007176C1" w:rsidRPr="00D71A4F" w14:paraId="76ACE273" w14:textId="77777777" w:rsidTr="00E2169C">
        <w:trPr>
          <w:trHeight w:val="498"/>
        </w:trPr>
        <w:tc>
          <w:tcPr>
            <w:tcW w:w="8648" w:type="dxa"/>
            <w:tcBorders>
              <w:top w:val="single" w:sz="4" w:space="0" w:color="000000"/>
              <w:left w:val="single" w:sz="4" w:space="0" w:color="000000"/>
              <w:bottom w:val="single" w:sz="4" w:space="0" w:color="000000"/>
              <w:right w:val="single" w:sz="4" w:space="0" w:color="000000"/>
            </w:tcBorders>
            <w:shd w:val="clear" w:color="auto" w:fill="002060"/>
          </w:tcPr>
          <w:p w14:paraId="0A4665C8" w14:textId="77777777" w:rsidR="007176C1" w:rsidRPr="00D71A4F" w:rsidRDefault="008D7D89">
            <w:pPr>
              <w:spacing w:after="0" w:line="259" w:lineRule="auto"/>
              <w:ind w:left="0" w:firstLine="0"/>
              <w:rPr>
                <w:rFonts w:ascii="Arial" w:hAnsi="Arial" w:cs="Arial"/>
                <w:bCs/>
                <w:color w:val="FFFFFF" w:themeColor="background1"/>
                <w:sz w:val="18"/>
                <w:szCs w:val="20"/>
              </w:rPr>
            </w:pPr>
            <w:r w:rsidRPr="00D71A4F">
              <w:rPr>
                <w:rFonts w:ascii="Arial" w:hAnsi="Arial" w:cs="Arial"/>
                <w:bCs/>
                <w:color w:val="FFFFFF" w:themeColor="background1"/>
                <w:sz w:val="18"/>
                <w:szCs w:val="20"/>
              </w:rPr>
              <w:t xml:space="preserve">Condition for processing special categories of personal data </w:t>
            </w:r>
          </w:p>
        </w:tc>
        <w:tc>
          <w:tcPr>
            <w:tcW w:w="5478" w:type="dxa"/>
            <w:tcBorders>
              <w:top w:val="single" w:sz="4" w:space="0" w:color="000000"/>
              <w:left w:val="single" w:sz="4" w:space="0" w:color="000000"/>
              <w:bottom w:val="single" w:sz="4" w:space="0" w:color="000000"/>
              <w:right w:val="single" w:sz="4" w:space="0" w:color="000000"/>
            </w:tcBorders>
            <w:shd w:val="clear" w:color="auto" w:fill="002060"/>
          </w:tcPr>
          <w:p w14:paraId="49BB6AEB" w14:textId="77777777" w:rsidR="007176C1" w:rsidRPr="00D71A4F" w:rsidRDefault="008D7D89">
            <w:pPr>
              <w:spacing w:after="0" w:line="259" w:lineRule="auto"/>
              <w:ind w:left="1" w:firstLine="0"/>
              <w:rPr>
                <w:rFonts w:ascii="Arial" w:hAnsi="Arial" w:cs="Arial"/>
                <w:bCs/>
                <w:color w:val="FFFFFF" w:themeColor="background1"/>
                <w:sz w:val="18"/>
                <w:szCs w:val="20"/>
              </w:rPr>
            </w:pPr>
            <w:r w:rsidRPr="00D71A4F">
              <w:rPr>
                <w:rFonts w:ascii="Arial" w:hAnsi="Arial" w:cs="Arial"/>
                <w:bCs/>
                <w:color w:val="FFFFFF" w:themeColor="background1"/>
                <w:sz w:val="18"/>
                <w:szCs w:val="20"/>
              </w:rPr>
              <w:t xml:space="preserve">Notes </w:t>
            </w:r>
          </w:p>
          <w:p w14:paraId="36019B3A" w14:textId="77777777" w:rsidR="007176C1" w:rsidRPr="00D71A4F" w:rsidRDefault="008D7D89">
            <w:pPr>
              <w:spacing w:after="0" w:line="259" w:lineRule="auto"/>
              <w:ind w:left="1" w:firstLine="0"/>
              <w:rPr>
                <w:rFonts w:ascii="Arial" w:hAnsi="Arial" w:cs="Arial"/>
                <w:bCs/>
                <w:color w:val="FFFFFF" w:themeColor="background1"/>
                <w:sz w:val="18"/>
                <w:szCs w:val="20"/>
              </w:rPr>
            </w:pPr>
            <w:r w:rsidRPr="00D71A4F">
              <w:rPr>
                <w:rFonts w:ascii="Arial" w:hAnsi="Arial" w:cs="Arial"/>
                <w:bCs/>
                <w:color w:val="FFFFFF" w:themeColor="background1"/>
                <w:sz w:val="18"/>
                <w:szCs w:val="20"/>
              </w:rPr>
              <w:t xml:space="preserve"> </w:t>
            </w:r>
          </w:p>
        </w:tc>
      </w:tr>
      <w:tr w:rsidR="007176C1" w:rsidRPr="00D71A4F" w14:paraId="30D23C44" w14:textId="77777777" w:rsidTr="00E2169C">
        <w:trPr>
          <w:trHeight w:val="496"/>
        </w:trPr>
        <w:tc>
          <w:tcPr>
            <w:tcW w:w="8648" w:type="dxa"/>
            <w:tcBorders>
              <w:top w:val="single" w:sz="4" w:space="0" w:color="000000"/>
              <w:left w:val="single" w:sz="4" w:space="0" w:color="000000"/>
              <w:bottom w:val="single" w:sz="4" w:space="0" w:color="000000"/>
              <w:right w:val="single" w:sz="4" w:space="0" w:color="000000"/>
            </w:tcBorders>
            <w:shd w:val="clear" w:color="auto" w:fill="DBE5F1"/>
          </w:tcPr>
          <w:p w14:paraId="61784292" w14:textId="77777777" w:rsidR="007176C1" w:rsidRPr="00D71A4F" w:rsidRDefault="008D7D89">
            <w:pPr>
              <w:spacing w:after="0" w:line="259" w:lineRule="auto"/>
              <w:ind w:left="0" w:firstLine="0"/>
              <w:rPr>
                <w:rFonts w:ascii="Arial" w:hAnsi="Arial" w:cs="Arial"/>
                <w:sz w:val="18"/>
                <w:szCs w:val="20"/>
              </w:rPr>
            </w:pPr>
            <w:r w:rsidRPr="00D71A4F">
              <w:rPr>
                <w:rFonts w:ascii="Arial" w:hAnsi="Arial" w:cs="Arial"/>
                <w:sz w:val="18"/>
                <w:szCs w:val="20"/>
              </w:rPr>
              <w:t xml:space="preserve">A. Explicit </w:t>
            </w:r>
            <w:r w:rsidRPr="00D71A4F">
              <w:rPr>
                <w:rFonts w:ascii="Arial" w:hAnsi="Arial" w:cs="Arial"/>
                <w:b/>
                <w:sz w:val="18"/>
                <w:szCs w:val="20"/>
              </w:rPr>
              <w:t>consent</w:t>
            </w:r>
            <w:r w:rsidRPr="00D71A4F">
              <w:rPr>
                <w:rFonts w:ascii="Arial" w:hAnsi="Arial" w:cs="Arial"/>
                <w:sz w:val="18"/>
                <w:szCs w:val="20"/>
              </w:rPr>
              <w:t xml:space="preserve"> of the data subject, unless reliance on consent is prohibited by the DPA2018 </w:t>
            </w:r>
          </w:p>
        </w:tc>
        <w:tc>
          <w:tcPr>
            <w:tcW w:w="5478" w:type="dxa"/>
            <w:tcBorders>
              <w:top w:val="single" w:sz="4" w:space="0" w:color="000000"/>
              <w:left w:val="single" w:sz="4" w:space="0" w:color="000000"/>
              <w:bottom w:val="single" w:sz="4" w:space="0" w:color="000000"/>
              <w:right w:val="single" w:sz="4" w:space="0" w:color="000000"/>
            </w:tcBorders>
            <w:shd w:val="clear" w:color="auto" w:fill="DBE5F1"/>
          </w:tcPr>
          <w:p w14:paraId="5D9ED159" w14:textId="77777777" w:rsidR="007176C1" w:rsidRPr="00D71A4F" w:rsidRDefault="008D7D89">
            <w:pPr>
              <w:spacing w:after="0" w:line="259" w:lineRule="auto"/>
              <w:ind w:left="1" w:firstLine="0"/>
              <w:rPr>
                <w:rFonts w:ascii="Arial" w:hAnsi="Arial" w:cs="Arial"/>
                <w:sz w:val="18"/>
                <w:szCs w:val="20"/>
              </w:rPr>
            </w:pPr>
            <w:r w:rsidRPr="00D71A4F">
              <w:rPr>
                <w:rFonts w:ascii="Arial" w:hAnsi="Arial" w:cs="Arial"/>
                <w:sz w:val="18"/>
                <w:szCs w:val="20"/>
              </w:rPr>
              <w:t xml:space="preserve">Unlikely to rely on this condition. Health professionals are more likely to rely on condition H below. </w:t>
            </w:r>
          </w:p>
        </w:tc>
      </w:tr>
      <w:tr w:rsidR="007176C1" w:rsidRPr="00D71A4F" w14:paraId="650C319B" w14:textId="77777777" w:rsidTr="00E2169C">
        <w:trPr>
          <w:trHeight w:val="502"/>
        </w:trPr>
        <w:tc>
          <w:tcPr>
            <w:tcW w:w="8648" w:type="dxa"/>
            <w:tcBorders>
              <w:top w:val="single" w:sz="4" w:space="0" w:color="000000"/>
              <w:left w:val="single" w:sz="4" w:space="0" w:color="000000"/>
              <w:bottom w:val="single" w:sz="4" w:space="0" w:color="000000"/>
              <w:right w:val="single" w:sz="4" w:space="0" w:color="000000"/>
            </w:tcBorders>
          </w:tcPr>
          <w:p w14:paraId="0C5EDCFD" w14:textId="77777777" w:rsidR="007176C1" w:rsidRPr="00D71A4F" w:rsidRDefault="008D7D89">
            <w:pPr>
              <w:spacing w:after="0" w:line="259" w:lineRule="auto"/>
              <w:ind w:left="0" w:firstLine="0"/>
              <w:rPr>
                <w:rFonts w:ascii="Arial" w:hAnsi="Arial" w:cs="Arial"/>
                <w:sz w:val="18"/>
                <w:szCs w:val="20"/>
              </w:rPr>
            </w:pPr>
            <w:r w:rsidRPr="00D71A4F">
              <w:rPr>
                <w:rFonts w:ascii="Arial" w:hAnsi="Arial" w:cs="Arial"/>
                <w:sz w:val="18"/>
                <w:szCs w:val="20"/>
              </w:rPr>
              <w:t xml:space="preserve">B. Processing is necessary for carrying out obligations under employment, social security or social protection law, or a collective agreement </w:t>
            </w:r>
          </w:p>
        </w:tc>
        <w:tc>
          <w:tcPr>
            <w:tcW w:w="5478" w:type="dxa"/>
            <w:tcBorders>
              <w:top w:val="single" w:sz="4" w:space="0" w:color="000000"/>
              <w:left w:val="single" w:sz="4" w:space="0" w:color="000000"/>
              <w:bottom w:val="single" w:sz="4" w:space="0" w:color="000000"/>
              <w:right w:val="single" w:sz="4" w:space="0" w:color="000000"/>
            </w:tcBorders>
          </w:tcPr>
          <w:p w14:paraId="2E50990C" w14:textId="77777777" w:rsidR="007176C1" w:rsidRPr="00D71A4F" w:rsidRDefault="008D7D89">
            <w:pPr>
              <w:spacing w:after="0" w:line="259" w:lineRule="auto"/>
              <w:ind w:left="1" w:firstLine="0"/>
              <w:rPr>
                <w:rFonts w:ascii="Arial" w:hAnsi="Arial" w:cs="Arial"/>
                <w:sz w:val="18"/>
                <w:szCs w:val="20"/>
              </w:rPr>
            </w:pPr>
            <w:r w:rsidRPr="00D71A4F">
              <w:rPr>
                <w:rFonts w:ascii="Arial" w:hAnsi="Arial" w:cs="Arial"/>
                <w:sz w:val="18"/>
                <w:szCs w:val="20"/>
              </w:rPr>
              <w:t xml:space="preserve">Practices might rely on this condition. </w:t>
            </w:r>
          </w:p>
        </w:tc>
      </w:tr>
      <w:tr w:rsidR="007176C1" w:rsidRPr="00D71A4F" w14:paraId="668B21A4" w14:textId="77777777" w:rsidTr="00E2169C">
        <w:trPr>
          <w:trHeight w:val="740"/>
        </w:trPr>
        <w:tc>
          <w:tcPr>
            <w:tcW w:w="8648" w:type="dxa"/>
            <w:tcBorders>
              <w:top w:val="single" w:sz="4" w:space="0" w:color="000000"/>
              <w:left w:val="single" w:sz="4" w:space="0" w:color="000000"/>
              <w:bottom w:val="single" w:sz="4" w:space="0" w:color="000000"/>
              <w:right w:val="single" w:sz="4" w:space="0" w:color="000000"/>
            </w:tcBorders>
            <w:shd w:val="clear" w:color="auto" w:fill="DBE5F1"/>
          </w:tcPr>
          <w:p w14:paraId="1FD7F5C1" w14:textId="77777777" w:rsidR="007176C1" w:rsidRPr="00D71A4F" w:rsidRDefault="008D7D89">
            <w:pPr>
              <w:spacing w:after="0" w:line="259" w:lineRule="auto"/>
              <w:ind w:left="0" w:firstLine="0"/>
              <w:rPr>
                <w:rFonts w:ascii="Arial" w:hAnsi="Arial" w:cs="Arial"/>
                <w:sz w:val="18"/>
                <w:szCs w:val="20"/>
              </w:rPr>
            </w:pPr>
            <w:r w:rsidRPr="00D71A4F">
              <w:rPr>
                <w:rFonts w:ascii="Arial" w:hAnsi="Arial" w:cs="Arial"/>
                <w:sz w:val="18"/>
                <w:szCs w:val="20"/>
              </w:rPr>
              <w:t xml:space="preserve">C. Processing is necessary to protect the vital interests of a data subject or another individual where the data subject is physically or legally incapable of giving consent </w:t>
            </w:r>
          </w:p>
        </w:tc>
        <w:tc>
          <w:tcPr>
            <w:tcW w:w="5478" w:type="dxa"/>
            <w:tcBorders>
              <w:top w:val="single" w:sz="4" w:space="0" w:color="000000"/>
              <w:left w:val="single" w:sz="4" w:space="0" w:color="000000"/>
              <w:bottom w:val="single" w:sz="4" w:space="0" w:color="000000"/>
              <w:right w:val="single" w:sz="4" w:space="0" w:color="000000"/>
            </w:tcBorders>
            <w:shd w:val="clear" w:color="auto" w:fill="DBE5F1"/>
          </w:tcPr>
          <w:p w14:paraId="3AFBBCEA" w14:textId="77777777" w:rsidR="007176C1" w:rsidRPr="00D71A4F" w:rsidRDefault="008D7D89">
            <w:pPr>
              <w:spacing w:after="0" w:line="259" w:lineRule="auto"/>
              <w:ind w:left="1" w:firstLine="0"/>
              <w:rPr>
                <w:rFonts w:ascii="Arial" w:hAnsi="Arial" w:cs="Arial"/>
                <w:sz w:val="18"/>
                <w:szCs w:val="20"/>
              </w:rPr>
            </w:pPr>
            <w:r w:rsidRPr="00D71A4F">
              <w:rPr>
                <w:rFonts w:ascii="Arial" w:hAnsi="Arial" w:cs="Arial"/>
                <w:sz w:val="18"/>
                <w:szCs w:val="20"/>
              </w:rPr>
              <w:t xml:space="preserve">Unlikely that practices will rely on this condition. </w:t>
            </w:r>
          </w:p>
        </w:tc>
      </w:tr>
      <w:tr w:rsidR="007176C1" w:rsidRPr="00D71A4F" w14:paraId="553D2C75" w14:textId="77777777" w:rsidTr="00E2169C">
        <w:trPr>
          <w:trHeight w:val="1234"/>
        </w:trPr>
        <w:tc>
          <w:tcPr>
            <w:tcW w:w="8648" w:type="dxa"/>
            <w:tcBorders>
              <w:top w:val="single" w:sz="4" w:space="0" w:color="000000"/>
              <w:left w:val="single" w:sz="4" w:space="0" w:color="000000"/>
              <w:bottom w:val="single" w:sz="4" w:space="0" w:color="000000"/>
              <w:right w:val="single" w:sz="4" w:space="0" w:color="000000"/>
            </w:tcBorders>
          </w:tcPr>
          <w:p w14:paraId="0296791B" w14:textId="77777777" w:rsidR="007176C1" w:rsidRPr="00D71A4F" w:rsidRDefault="008D7D89">
            <w:pPr>
              <w:spacing w:after="0" w:line="259" w:lineRule="auto"/>
              <w:ind w:left="0" w:firstLine="0"/>
              <w:rPr>
                <w:rFonts w:ascii="Arial" w:hAnsi="Arial" w:cs="Arial"/>
                <w:sz w:val="18"/>
                <w:szCs w:val="20"/>
              </w:rPr>
            </w:pPr>
            <w:r w:rsidRPr="00D71A4F">
              <w:rPr>
                <w:rFonts w:ascii="Arial" w:hAnsi="Arial" w:cs="Arial"/>
                <w:sz w:val="18"/>
                <w:szCs w:val="20"/>
              </w:rPr>
              <w:t xml:space="preserve">D. 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 </w:t>
            </w:r>
          </w:p>
        </w:tc>
        <w:tc>
          <w:tcPr>
            <w:tcW w:w="5478" w:type="dxa"/>
            <w:tcBorders>
              <w:top w:val="single" w:sz="4" w:space="0" w:color="000000"/>
              <w:left w:val="single" w:sz="4" w:space="0" w:color="000000"/>
              <w:bottom w:val="single" w:sz="4" w:space="0" w:color="000000"/>
              <w:right w:val="single" w:sz="4" w:space="0" w:color="000000"/>
            </w:tcBorders>
          </w:tcPr>
          <w:p w14:paraId="61B0C331" w14:textId="77777777" w:rsidR="007176C1" w:rsidRPr="00D71A4F" w:rsidRDefault="008D7D89">
            <w:pPr>
              <w:spacing w:after="0" w:line="259" w:lineRule="auto"/>
              <w:ind w:left="1" w:firstLine="0"/>
              <w:rPr>
                <w:rFonts w:ascii="Arial" w:hAnsi="Arial" w:cs="Arial"/>
                <w:sz w:val="18"/>
                <w:szCs w:val="20"/>
              </w:rPr>
            </w:pPr>
            <w:r w:rsidRPr="00D71A4F">
              <w:rPr>
                <w:rFonts w:ascii="Arial" w:hAnsi="Arial" w:cs="Arial"/>
                <w:sz w:val="18"/>
                <w:szCs w:val="20"/>
              </w:rPr>
              <w:t xml:space="preserve">Unlikely that practices will rely on this condition. </w:t>
            </w:r>
          </w:p>
        </w:tc>
      </w:tr>
      <w:tr w:rsidR="007176C1" w:rsidRPr="00D71A4F" w14:paraId="65394428" w14:textId="77777777" w:rsidTr="00E2169C">
        <w:trPr>
          <w:trHeight w:val="497"/>
        </w:trPr>
        <w:tc>
          <w:tcPr>
            <w:tcW w:w="8648" w:type="dxa"/>
            <w:tcBorders>
              <w:top w:val="single" w:sz="4" w:space="0" w:color="000000"/>
              <w:left w:val="single" w:sz="4" w:space="0" w:color="000000"/>
              <w:bottom w:val="single" w:sz="4" w:space="0" w:color="000000"/>
              <w:right w:val="single" w:sz="4" w:space="0" w:color="000000"/>
            </w:tcBorders>
            <w:shd w:val="clear" w:color="auto" w:fill="DBE5F1"/>
          </w:tcPr>
          <w:p w14:paraId="26DF6670" w14:textId="77777777" w:rsidR="007176C1" w:rsidRPr="00D71A4F" w:rsidRDefault="008D7D89">
            <w:pPr>
              <w:spacing w:after="0" w:line="259" w:lineRule="auto"/>
              <w:ind w:left="0" w:firstLine="0"/>
              <w:rPr>
                <w:rFonts w:ascii="Arial" w:hAnsi="Arial" w:cs="Arial"/>
                <w:sz w:val="18"/>
                <w:szCs w:val="20"/>
              </w:rPr>
            </w:pPr>
            <w:r w:rsidRPr="00D71A4F">
              <w:rPr>
                <w:rFonts w:ascii="Arial" w:hAnsi="Arial" w:cs="Arial"/>
                <w:sz w:val="18"/>
                <w:szCs w:val="20"/>
              </w:rPr>
              <w:t xml:space="preserve">E. Processing relates to personal data manifestly made public by the data subject </w:t>
            </w:r>
          </w:p>
        </w:tc>
        <w:tc>
          <w:tcPr>
            <w:tcW w:w="5478" w:type="dxa"/>
            <w:tcBorders>
              <w:top w:val="single" w:sz="4" w:space="0" w:color="000000"/>
              <w:left w:val="single" w:sz="4" w:space="0" w:color="000000"/>
              <w:bottom w:val="single" w:sz="4" w:space="0" w:color="000000"/>
              <w:right w:val="single" w:sz="4" w:space="0" w:color="000000"/>
            </w:tcBorders>
            <w:shd w:val="clear" w:color="auto" w:fill="DBE5F1"/>
          </w:tcPr>
          <w:p w14:paraId="636999AC" w14:textId="77777777" w:rsidR="007176C1" w:rsidRPr="00D71A4F" w:rsidRDefault="008D7D89">
            <w:pPr>
              <w:spacing w:after="0" w:line="259" w:lineRule="auto"/>
              <w:ind w:left="1" w:firstLine="0"/>
              <w:rPr>
                <w:rFonts w:ascii="Arial" w:hAnsi="Arial" w:cs="Arial"/>
                <w:sz w:val="18"/>
                <w:szCs w:val="20"/>
              </w:rPr>
            </w:pPr>
            <w:r w:rsidRPr="00D71A4F">
              <w:rPr>
                <w:rFonts w:ascii="Arial" w:hAnsi="Arial" w:cs="Arial"/>
                <w:sz w:val="18"/>
                <w:szCs w:val="20"/>
              </w:rPr>
              <w:t xml:space="preserve">Unlikely that practices will rely on this condition. </w:t>
            </w:r>
          </w:p>
        </w:tc>
      </w:tr>
      <w:tr w:rsidR="007176C1" w:rsidRPr="00D71A4F" w14:paraId="6663265E" w14:textId="77777777" w:rsidTr="00E2169C">
        <w:trPr>
          <w:trHeight w:val="499"/>
        </w:trPr>
        <w:tc>
          <w:tcPr>
            <w:tcW w:w="8648" w:type="dxa"/>
            <w:tcBorders>
              <w:top w:val="single" w:sz="4" w:space="0" w:color="000000"/>
              <w:left w:val="single" w:sz="4" w:space="0" w:color="000000"/>
              <w:bottom w:val="single" w:sz="4" w:space="0" w:color="000000"/>
              <w:right w:val="single" w:sz="4" w:space="0" w:color="000000"/>
            </w:tcBorders>
          </w:tcPr>
          <w:p w14:paraId="60F8A937" w14:textId="77777777" w:rsidR="007176C1" w:rsidRPr="00D71A4F" w:rsidRDefault="008D7D89">
            <w:pPr>
              <w:spacing w:after="0" w:line="259" w:lineRule="auto"/>
              <w:ind w:left="0" w:firstLine="0"/>
              <w:rPr>
                <w:rFonts w:ascii="Arial" w:hAnsi="Arial" w:cs="Arial"/>
                <w:sz w:val="18"/>
                <w:szCs w:val="20"/>
              </w:rPr>
            </w:pPr>
            <w:r w:rsidRPr="00D71A4F">
              <w:rPr>
                <w:rFonts w:ascii="Arial" w:hAnsi="Arial" w:cs="Arial"/>
                <w:sz w:val="18"/>
                <w:szCs w:val="20"/>
              </w:rPr>
              <w:t xml:space="preserve">F. Processing is necessary for the establishment, exercise or defence of legal claims or where courts are acting in their judicial capacity </w:t>
            </w:r>
          </w:p>
        </w:tc>
        <w:tc>
          <w:tcPr>
            <w:tcW w:w="5478" w:type="dxa"/>
            <w:tcBorders>
              <w:top w:val="single" w:sz="4" w:space="0" w:color="000000"/>
              <w:left w:val="single" w:sz="4" w:space="0" w:color="000000"/>
              <w:bottom w:val="single" w:sz="4" w:space="0" w:color="000000"/>
              <w:right w:val="single" w:sz="4" w:space="0" w:color="000000"/>
            </w:tcBorders>
          </w:tcPr>
          <w:p w14:paraId="3E809865" w14:textId="77777777" w:rsidR="007176C1" w:rsidRPr="00D71A4F" w:rsidRDefault="008D7D89">
            <w:pPr>
              <w:spacing w:after="0" w:line="259" w:lineRule="auto"/>
              <w:ind w:left="1" w:firstLine="0"/>
              <w:rPr>
                <w:rFonts w:ascii="Arial" w:hAnsi="Arial" w:cs="Arial"/>
                <w:sz w:val="18"/>
                <w:szCs w:val="20"/>
              </w:rPr>
            </w:pPr>
            <w:r w:rsidRPr="00D71A4F">
              <w:rPr>
                <w:rFonts w:ascii="Arial" w:hAnsi="Arial" w:cs="Arial"/>
                <w:sz w:val="18"/>
                <w:szCs w:val="20"/>
              </w:rPr>
              <w:t xml:space="preserve">It is possible that health care records and other special categories of data might have to be shared in this context – e.g. sharing of patient records with regulators. </w:t>
            </w:r>
          </w:p>
        </w:tc>
      </w:tr>
      <w:tr w:rsidR="007176C1" w:rsidRPr="00D71A4F" w14:paraId="13E84BF0" w14:textId="77777777" w:rsidTr="00E2169C">
        <w:trPr>
          <w:trHeight w:val="742"/>
        </w:trPr>
        <w:tc>
          <w:tcPr>
            <w:tcW w:w="8648" w:type="dxa"/>
            <w:tcBorders>
              <w:top w:val="single" w:sz="4" w:space="0" w:color="000000"/>
              <w:left w:val="single" w:sz="4" w:space="0" w:color="000000"/>
              <w:bottom w:val="single" w:sz="4" w:space="0" w:color="000000"/>
              <w:right w:val="single" w:sz="4" w:space="0" w:color="000000"/>
            </w:tcBorders>
            <w:shd w:val="clear" w:color="auto" w:fill="DBE5F1"/>
          </w:tcPr>
          <w:p w14:paraId="04C3CF86" w14:textId="77777777" w:rsidR="007176C1" w:rsidRPr="00D71A4F" w:rsidRDefault="008D7D89">
            <w:pPr>
              <w:spacing w:after="0" w:line="259" w:lineRule="auto"/>
              <w:ind w:left="0" w:firstLine="0"/>
              <w:rPr>
                <w:rFonts w:ascii="Arial" w:hAnsi="Arial" w:cs="Arial"/>
                <w:sz w:val="18"/>
                <w:szCs w:val="20"/>
              </w:rPr>
            </w:pPr>
            <w:r w:rsidRPr="00D71A4F">
              <w:rPr>
                <w:rFonts w:ascii="Arial" w:hAnsi="Arial" w:cs="Arial"/>
                <w:sz w:val="18"/>
                <w:szCs w:val="20"/>
              </w:rPr>
              <w:t xml:space="preserve">G. Processing is necessary for reasons of substantial public interest on the basis of Union or Member State law which is proportionate to the aim pursued and which contains appropriate safeguards </w:t>
            </w:r>
          </w:p>
        </w:tc>
        <w:tc>
          <w:tcPr>
            <w:tcW w:w="5478" w:type="dxa"/>
            <w:tcBorders>
              <w:top w:val="single" w:sz="4" w:space="0" w:color="000000"/>
              <w:left w:val="single" w:sz="4" w:space="0" w:color="000000"/>
              <w:bottom w:val="single" w:sz="4" w:space="0" w:color="000000"/>
              <w:right w:val="single" w:sz="4" w:space="0" w:color="000000"/>
            </w:tcBorders>
            <w:shd w:val="clear" w:color="auto" w:fill="DBE5F1"/>
          </w:tcPr>
          <w:p w14:paraId="66FD0651" w14:textId="77777777" w:rsidR="007176C1" w:rsidRPr="00D71A4F" w:rsidRDefault="008D7D89">
            <w:pPr>
              <w:spacing w:after="0" w:line="259" w:lineRule="auto"/>
              <w:ind w:left="1" w:firstLine="0"/>
              <w:rPr>
                <w:rFonts w:ascii="Arial" w:hAnsi="Arial" w:cs="Arial"/>
                <w:sz w:val="18"/>
                <w:szCs w:val="20"/>
              </w:rPr>
            </w:pPr>
            <w:r w:rsidRPr="00D71A4F">
              <w:rPr>
                <w:rFonts w:ascii="Arial" w:hAnsi="Arial" w:cs="Arial"/>
                <w:sz w:val="18"/>
                <w:szCs w:val="20"/>
              </w:rPr>
              <w:t xml:space="preserve">Unlikely that practices will rely on this condition. </w:t>
            </w:r>
          </w:p>
        </w:tc>
      </w:tr>
      <w:tr w:rsidR="007176C1" w:rsidRPr="00D71A4F" w14:paraId="4573E62A" w14:textId="77777777" w:rsidTr="00E2169C">
        <w:trPr>
          <w:trHeight w:val="1232"/>
        </w:trPr>
        <w:tc>
          <w:tcPr>
            <w:tcW w:w="8648" w:type="dxa"/>
            <w:tcBorders>
              <w:top w:val="single" w:sz="4" w:space="0" w:color="000000"/>
              <w:left w:val="single" w:sz="4" w:space="0" w:color="000000"/>
              <w:bottom w:val="single" w:sz="4" w:space="0" w:color="000000"/>
              <w:right w:val="single" w:sz="4" w:space="0" w:color="000000"/>
            </w:tcBorders>
          </w:tcPr>
          <w:p w14:paraId="51B5E8FD" w14:textId="77777777" w:rsidR="007176C1" w:rsidRPr="00D71A4F" w:rsidRDefault="008D7D89">
            <w:pPr>
              <w:spacing w:after="0" w:line="242" w:lineRule="auto"/>
              <w:ind w:left="0" w:firstLine="0"/>
              <w:rPr>
                <w:rFonts w:ascii="Arial" w:hAnsi="Arial" w:cs="Arial"/>
                <w:sz w:val="18"/>
                <w:szCs w:val="20"/>
              </w:rPr>
            </w:pPr>
            <w:r w:rsidRPr="00D71A4F">
              <w:rPr>
                <w:rFonts w:ascii="Arial" w:hAnsi="Arial" w:cs="Arial"/>
                <w:sz w:val="18"/>
                <w:szCs w:val="20"/>
              </w:rPr>
              <w:t xml:space="preserve">H. Processing is necessary for the purposes of preventative or occupational medicine, for assessing the working capacity of the employee, medical diagnosis, the provision of health or social care or treatment or management </w:t>
            </w:r>
          </w:p>
          <w:p w14:paraId="4AB81198" w14:textId="77777777" w:rsidR="007176C1" w:rsidRPr="00D71A4F" w:rsidRDefault="008D7D89">
            <w:pPr>
              <w:spacing w:after="0" w:line="259" w:lineRule="auto"/>
              <w:ind w:left="0" w:firstLine="0"/>
              <w:rPr>
                <w:rFonts w:ascii="Arial" w:hAnsi="Arial" w:cs="Arial"/>
                <w:sz w:val="18"/>
                <w:szCs w:val="20"/>
              </w:rPr>
            </w:pPr>
            <w:r w:rsidRPr="00D71A4F">
              <w:rPr>
                <w:rFonts w:ascii="Arial" w:hAnsi="Arial" w:cs="Arial"/>
                <w:sz w:val="18"/>
                <w:szCs w:val="20"/>
              </w:rPr>
              <w:t xml:space="preserve">of health or social care systems and services on the basis of Union or </w:t>
            </w:r>
          </w:p>
          <w:p w14:paraId="1287CC56" w14:textId="77777777" w:rsidR="007176C1" w:rsidRPr="00D71A4F" w:rsidRDefault="008D7D89">
            <w:pPr>
              <w:spacing w:after="0" w:line="259" w:lineRule="auto"/>
              <w:ind w:left="0" w:firstLine="0"/>
              <w:rPr>
                <w:rFonts w:ascii="Arial" w:hAnsi="Arial" w:cs="Arial"/>
                <w:sz w:val="18"/>
                <w:szCs w:val="20"/>
              </w:rPr>
            </w:pPr>
            <w:r w:rsidRPr="00D71A4F">
              <w:rPr>
                <w:rFonts w:ascii="Arial" w:hAnsi="Arial" w:cs="Arial"/>
                <w:sz w:val="18"/>
                <w:szCs w:val="20"/>
              </w:rPr>
              <w:t xml:space="preserve">Member State law or a contract with a health professional </w:t>
            </w:r>
          </w:p>
        </w:tc>
        <w:tc>
          <w:tcPr>
            <w:tcW w:w="5478" w:type="dxa"/>
            <w:tcBorders>
              <w:top w:val="single" w:sz="4" w:space="0" w:color="000000"/>
              <w:left w:val="single" w:sz="4" w:space="0" w:color="000000"/>
              <w:bottom w:val="single" w:sz="4" w:space="0" w:color="000000"/>
              <w:right w:val="single" w:sz="4" w:space="0" w:color="000000"/>
            </w:tcBorders>
          </w:tcPr>
          <w:p w14:paraId="7EB6CA18" w14:textId="77777777" w:rsidR="007176C1" w:rsidRPr="00D71A4F" w:rsidRDefault="008D7D89">
            <w:pPr>
              <w:spacing w:after="0" w:line="259" w:lineRule="auto"/>
              <w:ind w:left="1" w:firstLine="0"/>
              <w:rPr>
                <w:rFonts w:ascii="Arial" w:hAnsi="Arial" w:cs="Arial"/>
                <w:sz w:val="18"/>
                <w:szCs w:val="20"/>
              </w:rPr>
            </w:pPr>
            <w:r w:rsidRPr="00D71A4F">
              <w:rPr>
                <w:rFonts w:ascii="Arial" w:hAnsi="Arial" w:cs="Arial"/>
                <w:sz w:val="18"/>
                <w:szCs w:val="20"/>
              </w:rPr>
              <w:t xml:space="preserve">Practices will rely on this provision when processing health records. </w:t>
            </w:r>
          </w:p>
        </w:tc>
      </w:tr>
      <w:tr w:rsidR="007176C1" w:rsidRPr="00D71A4F" w14:paraId="78F78DD2" w14:textId="77777777" w:rsidTr="00E2169C">
        <w:trPr>
          <w:trHeight w:val="983"/>
        </w:trPr>
        <w:tc>
          <w:tcPr>
            <w:tcW w:w="8648" w:type="dxa"/>
            <w:tcBorders>
              <w:top w:val="single" w:sz="4" w:space="0" w:color="000000"/>
              <w:left w:val="single" w:sz="4" w:space="0" w:color="000000"/>
              <w:bottom w:val="single" w:sz="4" w:space="0" w:color="000000"/>
              <w:right w:val="single" w:sz="4" w:space="0" w:color="000000"/>
            </w:tcBorders>
            <w:shd w:val="clear" w:color="auto" w:fill="DBE5F1"/>
          </w:tcPr>
          <w:p w14:paraId="0A51C562" w14:textId="77777777" w:rsidR="007176C1" w:rsidRPr="00D71A4F" w:rsidRDefault="008D7D89">
            <w:pPr>
              <w:spacing w:after="0" w:line="259" w:lineRule="auto"/>
              <w:ind w:left="0" w:firstLine="0"/>
              <w:rPr>
                <w:rFonts w:ascii="Arial" w:hAnsi="Arial" w:cs="Arial"/>
                <w:sz w:val="18"/>
                <w:szCs w:val="20"/>
              </w:rPr>
            </w:pPr>
            <w:r w:rsidRPr="00D71A4F">
              <w:rPr>
                <w:rFonts w:ascii="Arial" w:hAnsi="Arial" w:cs="Arial"/>
                <w:sz w:val="18"/>
                <w:szCs w:val="20"/>
              </w:rPr>
              <w:t xml:space="preserve">I. Processing is  necessary for reasons of public interest in the area of public health, such as protecting against serious cross-border threats to health or ensuring high standards of healthcare and of medicinal products or medical devices </w:t>
            </w:r>
          </w:p>
        </w:tc>
        <w:tc>
          <w:tcPr>
            <w:tcW w:w="5478" w:type="dxa"/>
            <w:tcBorders>
              <w:top w:val="single" w:sz="4" w:space="0" w:color="000000"/>
              <w:left w:val="single" w:sz="4" w:space="0" w:color="000000"/>
              <w:bottom w:val="single" w:sz="4" w:space="0" w:color="000000"/>
              <w:right w:val="single" w:sz="4" w:space="0" w:color="000000"/>
            </w:tcBorders>
            <w:shd w:val="clear" w:color="auto" w:fill="DBE5F1"/>
          </w:tcPr>
          <w:p w14:paraId="7E0DF832" w14:textId="77777777" w:rsidR="007176C1" w:rsidRPr="00D71A4F" w:rsidRDefault="008D7D89">
            <w:pPr>
              <w:spacing w:after="0" w:line="259" w:lineRule="auto"/>
              <w:ind w:left="1" w:firstLine="0"/>
              <w:rPr>
                <w:rFonts w:ascii="Arial" w:hAnsi="Arial" w:cs="Arial"/>
                <w:sz w:val="18"/>
                <w:szCs w:val="20"/>
              </w:rPr>
            </w:pPr>
            <w:r w:rsidRPr="00D71A4F">
              <w:rPr>
                <w:rFonts w:ascii="Arial" w:hAnsi="Arial" w:cs="Arial"/>
                <w:sz w:val="18"/>
                <w:szCs w:val="20"/>
              </w:rPr>
              <w:t xml:space="preserve">Unlikely that practices will rely on this condition. </w:t>
            </w:r>
          </w:p>
        </w:tc>
      </w:tr>
      <w:tr w:rsidR="007176C1" w:rsidRPr="00D71A4F" w14:paraId="6E442E14" w14:textId="77777777" w:rsidTr="00E2169C">
        <w:trPr>
          <w:trHeight w:val="772"/>
        </w:trPr>
        <w:tc>
          <w:tcPr>
            <w:tcW w:w="8648" w:type="dxa"/>
            <w:tcBorders>
              <w:top w:val="single" w:sz="4" w:space="0" w:color="000000"/>
              <w:left w:val="single" w:sz="4" w:space="0" w:color="000000"/>
              <w:bottom w:val="single" w:sz="4" w:space="0" w:color="000000"/>
              <w:right w:val="single" w:sz="4" w:space="0" w:color="000000"/>
            </w:tcBorders>
          </w:tcPr>
          <w:p w14:paraId="4C08B4A3" w14:textId="77777777" w:rsidR="007176C1" w:rsidRPr="00D71A4F" w:rsidRDefault="008D7D89">
            <w:pPr>
              <w:spacing w:after="0" w:line="259" w:lineRule="auto"/>
              <w:ind w:left="0" w:firstLine="0"/>
              <w:rPr>
                <w:rFonts w:ascii="Arial" w:hAnsi="Arial" w:cs="Arial"/>
                <w:sz w:val="18"/>
                <w:szCs w:val="20"/>
              </w:rPr>
            </w:pPr>
            <w:r w:rsidRPr="00D71A4F">
              <w:rPr>
                <w:rFonts w:ascii="Arial" w:hAnsi="Arial" w:cs="Arial"/>
                <w:sz w:val="18"/>
                <w:szCs w:val="20"/>
              </w:rPr>
              <w:t xml:space="preserve">J. Processing is necessary for archiving purposes in the public interest, or scientific and historical research purposes or statistical purposes in accordance with Article 89(1) </w:t>
            </w:r>
          </w:p>
        </w:tc>
        <w:tc>
          <w:tcPr>
            <w:tcW w:w="5478" w:type="dxa"/>
            <w:tcBorders>
              <w:top w:val="single" w:sz="4" w:space="0" w:color="000000"/>
              <w:left w:val="single" w:sz="4" w:space="0" w:color="000000"/>
              <w:bottom w:val="single" w:sz="4" w:space="0" w:color="000000"/>
              <w:right w:val="single" w:sz="4" w:space="0" w:color="000000"/>
            </w:tcBorders>
          </w:tcPr>
          <w:p w14:paraId="0506BB18" w14:textId="77777777" w:rsidR="007176C1" w:rsidRPr="00D71A4F" w:rsidRDefault="008D7D89">
            <w:pPr>
              <w:spacing w:after="0" w:line="259" w:lineRule="auto"/>
              <w:ind w:left="1" w:firstLine="0"/>
              <w:rPr>
                <w:rFonts w:ascii="Arial" w:hAnsi="Arial" w:cs="Arial"/>
                <w:sz w:val="18"/>
                <w:szCs w:val="20"/>
              </w:rPr>
            </w:pPr>
            <w:r w:rsidRPr="00D71A4F">
              <w:rPr>
                <w:rFonts w:ascii="Arial" w:hAnsi="Arial" w:cs="Arial"/>
                <w:sz w:val="18"/>
                <w:szCs w:val="20"/>
              </w:rPr>
              <w:t xml:space="preserve">Unlikely that practices will rely on this condition. </w:t>
            </w:r>
          </w:p>
        </w:tc>
      </w:tr>
    </w:tbl>
    <w:p w14:paraId="0B468E58" w14:textId="77777777" w:rsidR="007176C1" w:rsidRPr="00D71A4F" w:rsidRDefault="008D7D89" w:rsidP="00540A44">
      <w:pPr>
        <w:pStyle w:val="Heading1"/>
        <w:spacing w:after="0"/>
        <w:ind w:left="0" w:right="0" w:firstLine="0"/>
        <w:rPr>
          <w:rFonts w:ascii="Arial" w:hAnsi="Arial" w:cs="Arial"/>
        </w:rPr>
      </w:pPr>
      <w:bookmarkStart w:id="28" w:name="_Toc30768840"/>
      <w:r w:rsidRPr="00D71A4F">
        <w:rPr>
          <w:rFonts w:ascii="Arial" w:hAnsi="Arial" w:cs="Arial"/>
        </w:rPr>
        <w:t>Annex C - INDIVIDUAL RIGHTS</w:t>
      </w:r>
      <w:bookmarkEnd w:id="28"/>
      <w:r w:rsidRPr="00D71A4F">
        <w:rPr>
          <w:rFonts w:ascii="Arial" w:hAnsi="Arial" w:cs="Arial"/>
        </w:rPr>
        <w:t xml:space="preserve">  </w:t>
      </w:r>
    </w:p>
    <w:p w14:paraId="2CCF7FF7" w14:textId="77777777" w:rsidR="007176C1" w:rsidRPr="00D71A4F" w:rsidRDefault="008D7D89">
      <w:pPr>
        <w:spacing w:after="0" w:line="259" w:lineRule="auto"/>
        <w:ind w:left="0" w:firstLine="0"/>
        <w:rPr>
          <w:rFonts w:ascii="Arial" w:hAnsi="Arial" w:cs="Arial"/>
        </w:rPr>
      </w:pPr>
      <w:r w:rsidRPr="00D71A4F">
        <w:rPr>
          <w:rFonts w:ascii="Arial" w:hAnsi="Arial" w:cs="Arial"/>
          <w:b/>
          <w:sz w:val="20"/>
        </w:rPr>
        <w:t xml:space="preserve"> </w:t>
      </w:r>
    </w:p>
    <w:p w14:paraId="01600DE0" w14:textId="3CCA7F6F" w:rsidR="007176C1" w:rsidRPr="00D71A4F" w:rsidRDefault="008D7D89" w:rsidP="00540A44">
      <w:pPr>
        <w:spacing w:after="0"/>
        <w:ind w:left="-5" w:right="11"/>
        <w:rPr>
          <w:rFonts w:ascii="Arial" w:hAnsi="Arial" w:cs="Arial"/>
        </w:rPr>
      </w:pPr>
      <w:r w:rsidRPr="00D71A4F">
        <w:rPr>
          <w:rFonts w:ascii="Arial" w:hAnsi="Arial" w:cs="Arial"/>
        </w:rPr>
        <w:t xml:space="preserve">The table below sets out the eight rights individuals will have under the new law.  </w:t>
      </w:r>
    </w:p>
    <w:tbl>
      <w:tblPr>
        <w:tblStyle w:val="TableGrid"/>
        <w:tblW w:w="12900" w:type="dxa"/>
        <w:tblInd w:w="6" w:type="dxa"/>
        <w:tblCellMar>
          <w:top w:w="39" w:type="dxa"/>
          <w:left w:w="107" w:type="dxa"/>
          <w:right w:w="109" w:type="dxa"/>
        </w:tblCellMar>
        <w:tblLook w:val="04A0" w:firstRow="1" w:lastRow="0" w:firstColumn="1" w:lastColumn="0" w:noHBand="0" w:noVBand="1"/>
      </w:tblPr>
      <w:tblGrid>
        <w:gridCol w:w="1809"/>
        <w:gridCol w:w="11091"/>
      </w:tblGrid>
      <w:tr w:rsidR="007176C1" w:rsidRPr="00D71A4F" w14:paraId="4EDBE3DE" w14:textId="77777777" w:rsidTr="00E2169C">
        <w:trPr>
          <w:trHeight w:val="356"/>
        </w:trPr>
        <w:tc>
          <w:tcPr>
            <w:tcW w:w="1809" w:type="dxa"/>
            <w:tcBorders>
              <w:top w:val="single" w:sz="4" w:space="0" w:color="000000"/>
              <w:left w:val="single" w:sz="4" w:space="0" w:color="000000"/>
              <w:bottom w:val="single" w:sz="4" w:space="0" w:color="000000"/>
              <w:right w:val="single" w:sz="4" w:space="0" w:color="000000"/>
            </w:tcBorders>
            <w:shd w:val="clear" w:color="auto" w:fill="002060"/>
          </w:tcPr>
          <w:p w14:paraId="5D00EC77" w14:textId="77777777" w:rsidR="007176C1" w:rsidRPr="00D71A4F" w:rsidRDefault="008D7D89">
            <w:pPr>
              <w:spacing w:after="0" w:line="259" w:lineRule="auto"/>
              <w:ind w:left="0" w:firstLine="0"/>
              <w:rPr>
                <w:rFonts w:ascii="Arial" w:hAnsi="Arial" w:cs="Arial"/>
                <w:bCs/>
                <w:color w:val="FFFFFF" w:themeColor="background1"/>
                <w:sz w:val="20"/>
                <w:szCs w:val="20"/>
              </w:rPr>
            </w:pPr>
            <w:r w:rsidRPr="00D71A4F">
              <w:rPr>
                <w:rFonts w:ascii="Arial" w:hAnsi="Arial" w:cs="Arial"/>
                <w:bCs/>
                <w:color w:val="FFFFFF" w:themeColor="background1"/>
                <w:sz w:val="20"/>
                <w:szCs w:val="20"/>
              </w:rPr>
              <w:t xml:space="preserve">Right </w:t>
            </w:r>
          </w:p>
        </w:tc>
        <w:tc>
          <w:tcPr>
            <w:tcW w:w="11091" w:type="dxa"/>
            <w:tcBorders>
              <w:top w:val="single" w:sz="4" w:space="0" w:color="000000"/>
              <w:left w:val="single" w:sz="4" w:space="0" w:color="000000"/>
              <w:bottom w:val="single" w:sz="4" w:space="0" w:color="000000"/>
              <w:right w:val="single" w:sz="4" w:space="0" w:color="000000"/>
            </w:tcBorders>
            <w:shd w:val="clear" w:color="auto" w:fill="002060"/>
          </w:tcPr>
          <w:p w14:paraId="077C83E0" w14:textId="77777777" w:rsidR="007176C1" w:rsidRPr="00D71A4F" w:rsidRDefault="008D7D89">
            <w:pPr>
              <w:spacing w:after="0" w:line="259" w:lineRule="auto"/>
              <w:ind w:left="1" w:firstLine="0"/>
              <w:rPr>
                <w:rFonts w:ascii="Arial" w:hAnsi="Arial" w:cs="Arial"/>
                <w:bCs/>
                <w:color w:val="FFFFFF" w:themeColor="background1"/>
                <w:sz w:val="20"/>
                <w:szCs w:val="20"/>
              </w:rPr>
            </w:pPr>
            <w:r w:rsidRPr="00D71A4F">
              <w:rPr>
                <w:rFonts w:ascii="Arial" w:hAnsi="Arial" w:cs="Arial"/>
                <w:bCs/>
                <w:color w:val="FFFFFF" w:themeColor="background1"/>
                <w:sz w:val="20"/>
                <w:szCs w:val="20"/>
              </w:rPr>
              <w:t xml:space="preserve">What does this mean in my  practice or business?  </w:t>
            </w:r>
          </w:p>
        </w:tc>
      </w:tr>
      <w:tr w:rsidR="007176C1" w:rsidRPr="00D71A4F" w14:paraId="5F476CC2" w14:textId="77777777">
        <w:trPr>
          <w:trHeight w:val="1158"/>
        </w:trPr>
        <w:tc>
          <w:tcPr>
            <w:tcW w:w="1809" w:type="dxa"/>
            <w:tcBorders>
              <w:top w:val="single" w:sz="4" w:space="0" w:color="000000"/>
              <w:left w:val="single" w:sz="4" w:space="0" w:color="000000"/>
              <w:bottom w:val="single" w:sz="4" w:space="0" w:color="000000"/>
              <w:right w:val="single" w:sz="4" w:space="0" w:color="000000"/>
            </w:tcBorders>
            <w:shd w:val="clear" w:color="auto" w:fill="DBE5F1"/>
          </w:tcPr>
          <w:p w14:paraId="64C19E07"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b/>
                <w:sz w:val="20"/>
                <w:szCs w:val="20"/>
              </w:rPr>
              <w:t xml:space="preserve">The right to be informed </w:t>
            </w:r>
          </w:p>
        </w:tc>
        <w:tc>
          <w:tcPr>
            <w:tcW w:w="11091" w:type="dxa"/>
            <w:tcBorders>
              <w:top w:val="single" w:sz="4" w:space="0" w:color="000000"/>
              <w:left w:val="single" w:sz="4" w:space="0" w:color="000000"/>
              <w:bottom w:val="single" w:sz="4" w:space="0" w:color="000000"/>
              <w:right w:val="single" w:sz="4" w:space="0" w:color="000000"/>
            </w:tcBorders>
            <w:shd w:val="clear" w:color="auto" w:fill="DBE5F1"/>
          </w:tcPr>
          <w:p w14:paraId="72D85F56" w14:textId="77777777" w:rsidR="007176C1" w:rsidRPr="00D71A4F" w:rsidRDefault="008D7D89" w:rsidP="00E2169C">
            <w:pPr>
              <w:pStyle w:val="ListParagraph"/>
              <w:numPr>
                <w:ilvl w:val="0"/>
                <w:numId w:val="39"/>
              </w:numPr>
              <w:spacing w:after="25" w:line="241" w:lineRule="auto"/>
              <w:rPr>
                <w:rFonts w:ascii="Arial" w:hAnsi="Arial" w:cs="Arial"/>
                <w:sz w:val="20"/>
                <w:szCs w:val="20"/>
              </w:rPr>
            </w:pPr>
            <w:r w:rsidRPr="00D71A4F">
              <w:rPr>
                <w:rFonts w:ascii="Arial" w:hAnsi="Arial" w:cs="Arial"/>
                <w:sz w:val="20"/>
                <w:szCs w:val="20"/>
              </w:rPr>
              <w:t xml:space="preserve">Be transparent about how you use personal data by letting patients and customers have access to ‘fair processing information’ – e.g. by using a privacy notice. </w:t>
            </w:r>
          </w:p>
          <w:p w14:paraId="71CE5C8D" w14:textId="77777777" w:rsidR="007176C1" w:rsidRPr="00D71A4F" w:rsidRDefault="008D7D89" w:rsidP="00E2169C">
            <w:pPr>
              <w:pStyle w:val="ListParagraph"/>
              <w:numPr>
                <w:ilvl w:val="0"/>
                <w:numId w:val="39"/>
              </w:numPr>
              <w:spacing w:after="58" w:line="241" w:lineRule="auto"/>
              <w:rPr>
                <w:rFonts w:ascii="Arial" w:hAnsi="Arial" w:cs="Arial"/>
                <w:sz w:val="20"/>
                <w:szCs w:val="20"/>
              </w:rPr>
            </w:pPr>
            <w:r w:rsidRPr="00D71A4F">
              <w:rPr>
                <w:rFonts w:ascii="Arial" w:hAnsi="Arial" w:cs="Arial"/>
                <w:sz w:val="20"/>
                <w:szCs w:val="20"/>
              </w:rPr>
              <w:t xml:space="preserve">Supply this information in a way that is: concise, transparent, intelligible and easily accessible; written in clear and plain language, particularly if addressed to a child; and free of charge. </w:t>
            </w:r>
          </w:p>
          <w:p w14:paraId="14C1863C" w14:textId="77777777" w:rsidR="007176C1" w:rsidRPr="00D71A4F" w:rsidRDefault="008D7D89" w:rsidP="00E2169C">
            <w:pPr>
              <w:pStyle w:val="ListParagraph"/>
              <w:numPr>
                <w:ilvl w:val="0"/>
                <w:numId w:val="39"/>
              </w:numPr>
              <w:spacing w:after="0" w:line="259" w:lineRule="auto"/>
              <w:rPr>
                <w:rFonts w:ascii="Arial" w:hAnsi="Arial" w:cs="Arial"/>
                <w:sz w:val="20"/>
                <w:szCs w:val="20"/>
              </w:rPr>
            </w:pPr>
            <w:r w:rsidRPr="00D71A4F">
              <w:rPr>
                <w:rFonts w:ascii="Arial" w:hAnsi="Arial" w:cs="Arial"/>
                <w:sz w:val="20"/>
                <w:szCs w:val="20"/>
              </w:rPr>
              <w:t xml:space="preserve">For more information on privacy statements see section 2.6. </w:t>
            </w:r>
          </w:p>
        </w:tc>
      </w:tr>
      <w:tr w:rsidR="007176C1" w:rsidRPr="00D71A4F" w14:paraId="65C5AF43" w14:textId="77777777">
        <w:trPr>
          <w:trHeight w:val="671"/>
        </w:trPr>
        <w:tc>
          <w:tcPr>
            <w:tcW w:w="1809" w:type="dxa"/>
            <w:tcBorders>
              <w:top w:val="single" w:sz="4" w:space="0" w:color="000000"/>
              <w:left w:val="single" w:sz="4" w:space="0" w:color="000000"/>
              <w:bottom w:val="single" w:sz="4" w:space="0" w:color="000000"/>
              <w:right w:val="single" w:sz="4" w:space="0" w:color="000000"/>
            </w:tcBorders>
          </w:tcPr>
          <w:p w14:paraId="52243AD2"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b/>
                <w:sz w:val="20"/>
                <w:szCs w:val="20"/>
              </w:rPr>
              <w:t xml:space="preserve">The right of access </w:t>
            </w:r>
          </w:p>
        </w:tc>
        <w:tc>
          <w:tcPr>
            <w:tcW w:w="11091" w:type="dxa"/>
            <w:tcBorders>
              <w:top w:val="single" w:sz="4" w:space="0" w:color="000000"/>
              <w:left w:val="single" w:sz="4" w:space="0" w:color="000000"/>
              <w:bottom w:val="single" w:sz="4" w:space="0" w:color="000000"/>
              <w:right w:val="single" w:sz="4" w:space="0" w:color="000000"/>
            </w:tcBorders>
          </w:tcPr>
          <w:p w14:paraId="52F17D27" w14:textId="4B805CC6" w:rsidR="007176C1" w:rsidRPr="00D71A4F" w:rsidRDefault="008D7D89" w:rsidP="00E2169C">
            <w:pPr>
              <w:pStyle w:val="ListParagraph"/>
              <w:numPr>
                <w:ilvl w:val="0"/>
                <w:numId w:val="40"/>
              </w:numPr>
              <w:spacing w:after="0" w:line="241" w:lineRule="auto"/>
              <w:rPr>
                <w:rFonts w:ascii="Arial" w:hAnsi="Arial" w:cs="Arial"/>
                <w:sz w:val="20"/>
                <w:szCs w:val="20"/>
              </w:rPr>
            </w:pPr>
            <w:r w:rsidRPr="00D71A4F">
              <w:rPr>
                <w:rFonts w:ascii="Arial" w:hAnsi="Arial" w:cs="Arial"/>
                <w:sz w:val="20"/>
                <w:szCs w:val="20"/>
              </w:rPr>
              <w:t xml:space="preserve">If you process personal data then individuals – e.g. customers, patients, staff – can ask what you are processing and why, and ask for copies of that data, see section 2.6.  </w:t>
            </w:r>
          </w:p>
          <w:p w14:paraId="155B2C78" w14:textId="77777777" w:rsidR="007176C1" w:rsidRPr="00D71A4F" w:rsidRDefault="008D7D89">
            <w:pPr>
              <w:spacing w:after="0" w:line="259" w:lineRule="auto"/>
              <w:ind w:left="1" w:firstLine="0"/>
              <w:rPr>
                <w:rFonts w:ascii="Arial" w:hAnsi="Arial" w:cs="Arial"/>
                <w:sz w:val="20"/>
                <w:szCs w:val="20"/>
              </w:rPr>
            </w:pPr>
            <w:r w:rsidRPr="00D71A4F">
              <w:rPr>
                <w:rFonts w:ascii="Arial" w:hAnsi="Arial" w:cs="Arial"/>
                <w:sz w:val="20"/>
                <w:szCs w:val="20"/>
              </w:rPr>
              <w:t xml:space="preserve"> </w:t>
            </w:r>
          </w:p>
        </w:tc>
      </w:tr>
      <w:tr w:rsidR="007176C1" w:rsidRPr="00D71A4F" w14:paraId="5BDD9952" w14:textId="77777777">
        <w:trPr>
          <w:trHeight w:val="666"/>
        </w:trPr>
        <w:tc>
          <w:tcPr>
            <w:tcW w:w="1809" w:type="dxa"/>
            <w:tcBorders>
              <w:top w:val="single" w:sz="4" w:space="0" w:color="000000"/>
              <w:left w:val="single" w:sz="4" w:space="0" w:color="000000"/>
              <w:bottom w:val="single" w:sz="4" w:space="0" w:color="000000"/>
              <w:right w:val="single" w:sz="4" w:space="0" w:color="000000"/>
            </w:tcBorders>
            <w:shd w:val="clear" w:color="auto" w:fill="DBE5F1"/>
          </w:tcPr>
          <w:p w14:paraId="6BE19BF7"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b/>
                <w:sz w:val="20"/>
                <w:szCs w:val="20"/>
              </w:rPr>
              <w:t xml:space="preserve">The right to rectification </w:t>
            </w:r>
          </w:p>
        </w:tc>
        <w:tc>
          <w:tcPr>
            <w:tcW w:w="11091" w:type="dxa"/>
            <w:tcBorders>
              <w:top w:val="single" w:sz="4" w:space="0" w:color="000000"/>
              <w:left w:val="single" w:sz="4" w:space="0" w:color="000000"/>
              <w:bottom w:val="single" w:sz="4" w:space="0" w:color="000000"/>
              <w:right w:val="single" w:sz="4" w:space="0" w:color="000000"/>
            </w:tcBorders>
            <w:shd w:val="clear" w:color="auto" w:fill="DBE5F1"/>
          </w:tcPr>
          <w:p w14:paraId="492951E2" w14:textId="77777777" w:rsidR="007176C1" w:rsidRPr="00D71A4F" w:rsidRDefault="008D7D89" w:rsidP="00E2169C">
            <w:pPr>
              <w:pStyle w:val="ListParagraph"/>
              <w:numPr>
                <w:ilvl w:val="0"/>
                <w:numId w:val="40"/>
              </w:numPr>
              <w:spacing w:after="11" w:line="259" w:lineRule="auto"/>
              <w:rPr>
                <w:rFonts w:ascii="Arial" w:hAnsi="Arial" w:cs="Arial"/>
                <w:sz w:val="20"/>
                <w:szCs w:val="20"/>
              </w:rPr>
            </w:pPr>
            <w:r w:rsidRPr="00D71A4F">
              <w:rPr>
                <w:rFonts w:ascii="Arial" w:hAnsi="Arial" w:cs="Arial"/>
                <w:sz w:val="20"/>
                <w:szCs w:val="20"/>
              </w:rPr>
              <w:t xml:space="preserve">Individuals can ask you to rectify personal data if it is inaccurate or incomplete.  </w:t>
            </w:r>
          </w:p>
          <w:p w14:paraId="51372E61" w14:textId="77777777" w:rsidR="007176C1" w:rsidRPr="00D71A4F" w:rsidRDefault="008D7D89" w:rsidP="00E2169C">
            <w:pPr>
              <w:pStyle w:val="ListParagraph"/>
              <w:numPr>
                <w:ilvl w:val="0"/>
                <w:numId w:val="40"/>
              </w:numPr>
              <w:spacing w:after="0" w:line="259" w:lineRule="auto"/>
              <w:rPr>
                <w:rFonts w:ascii="Arial" w:hAnsi="Arial" w:cs="Arial"/>
                <w:sz w:val="20"/>
                <w:szCs w:val="20"/>
              </w:rPr>
            </w:pPr>
            <w:r w:rsidRPr="00D71A4F">
              <w:rPr>
                <w:rFonts w:ascii="Arial" w:hAnsi="Arial" w:cs="Arial"/>
                <w:sz w:val="20"/>
                <w:szCs w:val="20"/>
              </w:rPr>
              <w:t xml:space="preserve">Respond to such requests within one month, although if it is a complicated request you might be able to extend this by two months. </w:t>
            </w:r>
          </w:p>
          <w:p w14:paraId="4CFB32ED" w14:textId="77777777" w:rsidR="007176C1" w:rsidRPr="00D71A4F" w:rsidRDefault="008D7D89">
            <w:pPr>
              <w:spacing w:after="0" w:line="259" w:lineRule="auto"/>
              <w:ind w:left="1" w:firstLine="0"/>
              <w:rPr>
                <w:rFonts w:ascii="Arial" w:hAnsi="Arial" w:cs="Arial"/>
                <w:sz w:val="20"/>
                <w:szCs w:val="20"/>
              </w:rPr>
            </w:pPr>
            <w:r w:rsidRPr="00D71A4F">
              <w:rPr>
                <w:rFonts w:ascii="Arial" w:hAnsi="Arial" w:cs="Arial"/>
                <w:sz w:val="20"/>
                <w:szCs w:val="20"/>
              </w:rPr>
              <w:t xml:space="preserve"> </w:t>
            </w:r>
          </w:p>
        </w:tc>
      </w:tr>
      <w:tr w:rsidR="007176C1" w:rsidRPr="00D71A4F" w14:paraId="39A5073E" w14:textId="77777777">
        <w:trPr>
          <w:trHeight w:val="893"/>
        </w:trPr>
        <w:tc>
          <w:tcPr>
            <w:tcW w:w="1809" w:type="dxa"/>
            <w:tcBorders>
              <w:top w:val="single" w:sz="4" w:space="0" w:color="000000"/>
              <w:left w:val="single" w:sz="4" w:space="0" w:color="000000"/>
              <w:bottom w:val="single" w:sz="4" w:space="0" w:color="000000"/>
              <w:right w:val="single" w:sz="4" w:space="0" w:color="000000"/>
            </w:tcBorders>
          </w:tcPr>
          <w:p w14:paraId="5F4FB5DB"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b/>
                <w:sz w:val="20"/>
                <w:szCs w:val="20"/>
              </w:rPr>
              <w:t xml:space="preserve">The right to erasure </w:t>
            </w:r>
          </w:p>
        </w:tc>
        <w:tc>
          <w:tcPr>
            <w:tcW w:w="11091" w:type="dxa"/>
            <w:tcBorders>
              <w:top w:val="single" w:sz="4" w:space="0" w:color="000000"/>
              <w:left w:val="single" w:sz="4" w:space="0" w:color="000000"/>
              <w:bottom w:val="single" w:sz="4" w:space="0" w:color="000000"/>
              <w:right w:val="single" w:sz="4" w:space="0" w:color="000000"/>
            </w:tcBorders>
          </w:tcPr>
          <w:p w14:paraId="10006EF3" w14:textId="77777777" w:rsidR="007176C1" w:rsidRPr="00D71A4F" w:rsidRDefault="008D7D89" w:rsidP="00E2169C">
            <w:pPr>
              <w:pStyle w:val="ListParagraph"/>
              <w:numPr>
                <w:ilvl w:val="0"/>
                <w:numId w:val="41"/>
              </w:numPr>
              <w:spacing w:after="9" w:line="259" w:lineRule="auto"/>
              <w:ind w:right="83"/>
              <w:rPr>
                <w:rFonts w:ascii="Arial" w:hAnsi="Arial" w:cs="Arial"/>
                <w:sz w:val="20"/>
                <w:szCs w:val="20"/>
              </w:rPr>
            </w:pPr>
            <w:r w:rsidRPr="00D71A4F">
              <w:rPr>
                <w:rFonts w:ascii="Arial" w:hAnsi="Arial" w:cs="Arial"/>
                <w:sz w:val="20"/>
                <w:szCs w:val="20"/>
              </w:rPr>
              <w:t xml:space="preserve">This is also known as ‘the right to be forgotten’ – e.g. a person might be able to ask you to delete or remove personal data you hold on them. </w:t>
            </w:r>
          </w:p>
          <w:p w14:paraId="7BAD1253" w14:textId="77777777" w:rsidR="007176C1" w:rsidRPr="00D71A4F" w:rsidRDefault="008D7D89" w:rsidP="00E2169C">
            <w:pPr>
              <w:pStyle w:val="ListParagraph"/>
              <w:numPr>
                <w:ilvl w:val="0"/>
                <w:numId w:val="41"/>
              </w:numPr>
              <w:spacing w:after="0" w:line="259" w:lineRule="auto"/>
              <w:ind w:right="83"/>
              <w:rPr>
                <w:rFonts w:ascii="Arial" w:hAnsi="Arial" w:cs="Arial"/>
                <w:sz w:val="20"/>
                <w:szCs w:val="20"/>
              </w:rPr>
            </w:pPr>
            <w:r w:rsidRPr="00D71A4F">
              <w:rPr>
                <w:rFonts w:ascii="Arial" w:hAnsi="Arial" w:cs="Arial"/>
                <w:sz w:val="20"/>
                <w:szCs w:val="20"/>
              </w:rPr>
              <w:t xml:space="preserve">This applies where there is no compelling reason for its continued processing. It is therefore </w:t>
            </w:r>
            <w:r w:rsidRPr="00D71A4F">
              <w:rPr>
                <w:rFonts w:ascii="Arial" w:hAnsi="Arial" w:cs="Arial"/>
                <w:b/>
                <w:sz w:val="20"/>
                <w:szCs w:val="20"/>
                <w:u w:val="single" w:color="000000"/>
              </w:rPr>
              <w:t>not</w:t>
            </w:r>
            <w:r w:rsidRPr="00D71A4F">
              <w:rPr>
                <w:rFonts w:ascii="Arial" w:hAnsi="Arial" w:cs="Arial"/>
                <w:sz w:val="20"/>
                <w:szCs w:val="20"/>
              </w:rPr>
              <w:t xml:space="preserve"> applicable where there is a duty to keep accurate records – e.g. keeping health and employee records is often a legal requirement or best practice and a requirement in case of a legal claim etc.  </w:t>
            </w:r>
          </w:p>
        </w:tc>
      </w:tr>
      <w:tr w:rsidR="007176C1" w:rsidRPr="00D71A4F" w14:paraId="08FC53AA" w14:textId="77777777">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DBE5F1"/>
          </w:tcPr>
          <w:p w14:paraId="0B13B091"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b/>
                <w:sz w:val="20"/>
                <w:szCs w:val="20"/>
              </w:rPr>
              <w:t xml:space="preserve">The right to restrict processing </w:t>
            </w:r>
          </w:p>
        </w:tc>
        <w:tc>
          <w:tcPr>
            <w:tcW w:w="11091" w:type="dxa"/>
            <w:tcBorders>
              <w:top w:val="single" w:sz="4" w:space="0" w:color="000000"/>
              <w:left w:val="single" w:sz="4" w:space="0" w:color="000000"/>
              <w:bottom w:val="single" w:sz="4" w:space="0" w:color="000000"/>
              <w:right w:val="single" w:sz="4" w:space="0" w:color="000000"/>
            </w:tcBorders>
            <w:shd w:val="clear" w:color="auto" w:fill="DBE5F1"/>
          </w:tcPr>
          <w:p w14:paraId="0D695264" w14:textId="77777777" w:rsidR="007176C1" w:rsidRPr="00D71A4F" w:rsidRDefault="008D7D89" w:rsidP="00E2169C">
            <w:pPr>
              <w:pStyle w:val="ListParagraph"/>
              <w:numPr>
                <w:ilvl w:val="0"/>
                <w:numId w:val="42"/>
              </w:numPr>
              <w:spacing w:after="26" w:line="241" w:lineRule="auto"/>
              <w:rPr>
                <w:rFonts w:ascii="Arial" w:hAnsi="Arial" w:cs="Arial"/>
                <w:sz w:val="20"/>
                <w:szCs w:val="20"/>
              </w:rPr>
            </w:pPr>
            <w:r w:rsidRPr="00D71A4F">
              <w:rPr>
                <w:rFonts w:ascii="Arial" w:hAnsi="Arial" w:cs="Arial"/>
                <w:sz w:val="20"/>
                <w:szCs w:val="20"/>
              </w:rPr>
              <w:t xml:space="preserve">A customer has the right to ‘block’ or suppress you processing their data in certain circumstances.  This is unlikely to apply in a typical optical practice. </w:t>
            </w:r>
          </w:p>
          <w:p w14:paraId="1C8A8425" w14:textId="77777777" w:rsidR="007176C1" w:rsidRPr="00D71A4F" w:rsidRDefault="008D7D89" w:rsidP="00E2169C">
            <w:pPr>
              <w:pStyle w:val="ListParagraph"/>
              <w:numPr>
                <w:ilvl w:val="0"/>
                <w:numId w:val="42"/>
              </w:numPr>
              <w:spacing w:after="0" w:line="259" w:lineRule="auto"/>
              <w:rPr>
                <w:rFonts w:ascii="Arial" w:hAnsi="Arial" w:cs="Arial"/>
                <w:sz w:val="20"/>
                <w:szCs w:val="20"/>
              </w:rPr>
            </w:pPr>
            <w:r w:rsidRPr="00D71A4F">
              <w:rPr>
                <w:rFonts w:ascii="Arial" w:hAnsi="Arial" w:cs="Arial"/>
                <w:sz w:val="20"/>
                <w:szCs w:val="20"/>
              </w:rPr>
              <w:t xml:space="preserve">If there is a basis for a customer to exercise this right then you can store the personal data, but not further process it. </w:t>
            </w:r>
          </w:p>
        </w:tc>
      </w:tr>
      <w:tr w:rsidR="007176C1" w:rsidRPr="00D71A4F" w14:paraId="27D7BACD" w14:textId="77777777">
        <w:trPr>
          <w:trHeight w:val="454"/>
        </w:trPr>
        <w:tc>
          <w:tcPr>
            <w:tcW w:w="1809" w:type="dxa"/>
            <w:tcBorders>
              <w:top w:val="single" w:sz="4" w:space="0" w:color="000000"/>
              <w:left w:val="single" w:sz="4" w:space="0" w:color="000000"/>
              <w:bottom w:val="single" w:sz="4" w:space="0" w:color="000000"/>
              <w:right w:val="single" w:sz="4" w:space="0" w:color="000000"/>
            </w:tcBorders>
          </w:tcPr>
          <w:p w14:paraId="53225A87"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b/>
                <w:sz w:val="20"/>
                <w:szCs w:val="20"/>
              </w:rPr>
              <w:t xml:space="preserve">The right to data portability </w:t>
            </w:r>
          </w:p>
        </w:tc>
        <w:tc>
          <w:tcPr>
            <w:tcW w:w="11091" w:type="dxa"/>
            <w:tcBorders>
              <w:top w:val="single" w:sz="4" w:space="0" w:color="000000"/>
              <w:left w:val="single" w:sz="4" w:space="0" w:color="000000"/>
              <w:bottom w:val="single" w:sz="4" w:space="0" w:color="000000"/>
              <w:right w:val="single" w:sz="4" w:space="0" w:color="000000"/>
            </w:tcBorders>
          </w:tcPr>
          <w:p w14:paraId="67F7C89A" w14:textId="1F462470" w:rsidR="007176C1" w:rsidRPr="00D71A4F" w:rsidRDefault="008D7D89" w:rsidP="00E2169C">
            <w:pPr>
              <w:pStyle w:val="ListParagraph"/>
              <w:numPr>
                <w:ilvl w:val="0"/>
                <w:numId w:val="43"/>
              </w:numPr>
              <w:tabs>
                <w:tab w:val="center" w:pos="4541"/>
              </w:tabs>
              <w:spacing w:after="0" w:line="259" w:lineRule="auto"/>
              <w:rPr>
                <w:rFonts w:ascii="Arial" w:hAnsi="Arial" w:cs="Arial"/>
                <w:sz w:val="20"/>
                <w:szCs w:val="20"/>
              </w:rPr>
            </w:pPr>
            <w:r w:rsidRPr="00D71A4F">
              <w:rPr>
                <w:rFonts w:ascii="Arial" w:hAnsi="Arial" w:cs="Arial"/>
                <w:sz w:val="20"/>
                <w:szCs w:val="20"/>
              </w:rPr>
              <w:t xml:space="preserve">This is unlikely to apply to optical practices because it applies when processing is carried out by automated means.  </w:t>
            </w:r>
          </w:p>
        </w:tc>
      </w:tr>
      <w:tr w:rsidR="007176C1" w:rsidRPr="00D71A4F" w14:paraId="1EE457DF" w14:textId="77777777">
        <w:trPr>
          <w:trHeight w:val="1106"/>
        </w:trPr>
        <w:tc>
          <w:tcPr>
            <w:tcW w:w="1809" w:type="dxa"/>
            <w:tcBorders>
              <w:top w:val="single" w:sz="4" w:space="0" w:color="000000"/>
              <w:left w:val="single" w:sz="4" w:space="0" w:color="000000"/>
              <w:bottom w:val="single" w:sz="4" w:space="0" w:color="000000"/>
              <w:right w:val="single" w:sz="4" w:space="0" w:color="000000"/>
            </w:tcBorders>
            <w:shd w:val="clear" w:color="auto" w:fill="DBE5F1"/>
          </w:tcPr>
          <w:p w14:paraId="1A2611CF"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b/>
                <w:sz w:val="20"/>
                <w:szCs w:val="20"/>
              </w:rPr>
              <w:t xml:space="preserve">The right to object </w:t>
            </w:r>
          </w:p>
        </w:tc>
        <w:tc>
          <w:tcPr>
            <w:tcW w:w="11091" w:type="dxa"/>
            <w:tcBorders>
              <w:top w:val="single" w:sz="4" w:space="0" w:color="000000"/>
              <w:left w:val="single" w:sz="4" w:space="0" w:color="000000"/>
              <w:bottom w:val="single" w:sz="4" w:space="0" w:color="000000"/>
              <w:right w:val="single" w:sz="4" w:space="0" w:color="000000"/>
            </w:tcBorders>
            <w:shd w:val="clear" w:color="auto" w:fill="DBE5F1"/>
          </w:tcPr>
          <w:p w14:paraId="4185E2AE" w14:textId="77777777" w:rsidR="007176C1" w:rsidRPr="00D71A4F" w:rsidRDefault="008D7D89" w:rsidP="00E2169C">
            <w:pPr>
              <w:pStyle w:val="ListParagraph"/>
              <w:numPr>
                <w:ilvl w:val="0"/>
                <w:numId w:val="43"/>
              </w:numPr>
              <w:spacing w:after="11" w:line="259" w:lineRule="auto"/>
              <w:rPr>
                <w:rFonts w:ascii="Arial" w:hAnsi="Arial" w:cs="Arial"/>
                <w:sz w:val="20"/>
                <w:szCs w:val="20"/>
              </w:rPr>
            </w:pPr>
            <w:r w:rsidRPr="00D71A4F">
              <w:rPr>
                <w:rFonts w:ascii="Arial" w:hAnsi="Arial" w:cs="Arial"/>
                <w:sz w:val="20"/>
                <w:szCs w:val="20"/>
              </w:rPr>
              <w:t xml:space="preserve">Individuals can object to you processing their personal data in certain circumstances </w:t>
            </w:r>
          </w:p>
          <w:p w14:paraId="4855F4B1" w14:textId="77777777" w:rsidR="007176C1" w:rsidRPr="00D71A4F" w:rsidRDefault="008D7D89" w:rsidP="00E2169C">
            <w:pPr>
              <w:pStyle w:val="ListParagraph"/>
              <w:numPr>
                <w:ilvl w:val="0"/>
                <w:numId w:val="43"/>
              </w:numPr>
              <w:spacing w:after="29" w:line="240" w:lineRule="auto"/>
              <w:rPr>
                <w:rFonts w:ascii="Arial" w:hAnsi="Arial" w:cs="Arial"/>
                <w:sz w:val="20"/>
                <w:szCs w:val="20"/>
              </w:rPr>
            </w:pPr>
            <w:r w:rsidRPr="00D71A4F">
              <w:rPr>
                <w:rFonts w:ascii="Arial" w:hAnsi="Arial" w:cs="Arial"/>
                <w:sz w:val="20"/>
                <w:szCs w:val="20"/>
              </w:rPr>
              <w:t xml:space="preserve">If you used “legitimate interest” as the lawful basis for processing personal data and an individual objects you must stop processing data </w:t>
            </w:r>
            <w:r w:rsidRPr="00D71A4F">
              <w:rPr>
                <w:rFonts w:ascii="Arial" w:hAnsi="Arial" w:cs="Arial"/>
                <w:b/>
                <w:sz w:val="20"/>
                <w:szCs w:val="20"/>
              </w:rPr>
              <w:t>unless</w:t>
            </w:r>
            <w:r w:rsidRPr="00D71A4F">
              <w:rPr>
                <w:rFonts w:ascii="Arial" w:hAnsi="Arial" w:cs="Arial"/>
                <w:sz w:val="20"/>
                <w:szCs w:val="20"/>
              </w:rPr>
              <w:t xml:space="preserve"> you can a) demonstrate how your legitimate interests override the interests, rights and freedoms of the individual or b) you are processing the data for the establishment, exercise or defence of legal claims  </w:t>
            </w:r>
          </w:p>
          <w:p w14:paraId="24990F15" w14:textId="77777777" w:rsidR="007176C1" w:rsidRPr="00D71A4F" w:rsidRDefault="008D7D89" w:rsidP="00E2169C">
            <w:pPr>
              <w:pStyle w:val="ListParagraph"/>
              <w:numPr>
                <w:ilvl w:val="0"/>
                <w:numId w:val="43"/>
              </w:numPr>
              <w:spacing w:after="0" w:line="259" w:lineRule="auto"/>
              <w:rPr>
                <w:rFonts w:ascii="Arial" w:hAnsi="Arial" w:cs="Arial"/>
                <w:sz w:val="20"/>
                <w:szCs w:val="20"/>
              </w:rPr>
            </w:pPr>
            <w:r w:rsidRPr="00D71A4F">
              <w:rPr>
                <w:rFonts w:ascii="Arial" w:hAnsi="Arial" w:cs="Arial"/>
                <w:sz w:val="20"/>
                <w:szCs w:val="20"/>
              </w:rPr>
              <w:t xml:space="preserve">If an individual objects to you processing personal data for direct marketing, you must stop processing data for that purpose. </w:t>
            </w:r>
          </w:p>
        </w:tc>
      </w:tr>
      <w:tr w:rsidR="007176C1" w:rsidRPr="00D71A4F" w14:paraId="5CD962AC" w14:textId="77777777">
        <w:trPr>
          <w:trHeight w:val="1111"/>
        </w:trPr>
        <w:tc>
          <w:tcPr>
            <w:tcW w:w="1809" w:type="dxa"/>
            <w:tcBorders>
              <w:top w:val="single" w:sz="4" w:space="0" w:color="000000"/>
              <w:left w:val="single" w:sz="4" w:space="0" w:color="000000"/>
              <w:bottom w:val="single" w:sz="4" w:space="0" w:color="000000"/>
              <w:right w:val="single" w:sz="4" w:space="0" w:color="000000"/>
            </w:tcBorders>
          </w:tcPr>
          <w:p w14:paraId="390BC52D" w14:textId="77777777" w:rsidR="007176C1" w:rsidRPr="00D71A4F" w:rsidRDefault="008D7D89">
            <w:pPr>
              <w:spacing w:after="0" w:line="259" w:lineRule="auto"/>
              <w:ind w:left="0" w:firstLine="0"/>
              <w:rPr>
                <w:rFonts w:ascii="Arial" w:hAnsi="Arial" w:cs="Arial"/>
                <w:sz w:val="20"/>
                <w:szCs w:val="20"/>
              </w:rPr>
            </w:pPr>
            <w:r w:rsidRPr="00D71A4F">
              <w:rPr>
                <w:rFonts w:ascii="Arial" w:hAnsi="Arial" w:cs="Arial"/>
                <w:b/>
                <w:sz w:val="20"/>
                <w:szCs w:val="20"/>
              </w:rPr>
              <w:t xml:space="preserve">The right not to be subject to automated </w:t>
            </w:r>
            <w:proofErr w:type="spellStart"/>
            <w:r w:rsidRPr="00D71A4F">
              <w:rPr>
                <w:rFonts w:ascii="Arial" w:hAnsi="Arial" w:cs="Arial"/>
                <w:b/>
                <w:sz w:val="20"/>
                <w:szCs w:val="20"/>
              </w:rPr>
              <w:t>decisionmaking</w:t>
            </w:r>
            <w:proofErr w:type="spellEnd"/>
            <w:r w:rsidRPr="00D71A4F">
              <w:rPr>
                <w:rFonts w:ascii="Arial" w:hAnsi="Arial" w:cs="Arial"/>
                <w:b/>
                <w:sz w:val="20"/>
                <w:szCs w:val="20"/>
              </w:rPr>
              <w:t xml:space="preserve"> including profiling </w:t>
            </w:r>
          </w:p>
        </w:tc>
        <w:tc>
          <w:tcPr>
            <w:tcW w:w="11091" w:type="dxa"/>
            <w:tcBorders>
              <w:top w:val="single" w:sz="4" w:space="0" w:color="000000"/>
              <w:left w:val="single" w:sz="4" w:space="0" w:color="000000"/>
              <w:bottom w:val="single" w:sz="4" w:space="0" w:color="000000"/>
              <w:right w:val="single" w:sz="4" w:space="0" w:color="000000"/>
            </w:tcBorders>
          </w:tcPr>
          <w:p w14:paraId="13982DE9" w14:textId="36A83163" w:rsidR="007176C1" w:rsidRPr="00D71A4F" w:rsidRDefault="008D7D89" w:rsidP="00E2169C">
            <w:pPr>
              <w:pStyle w:val="ListParagraph"/>
              <w:numPr>
                <w:ilvl w:val="0"/>
                <w:numId w:val="44"/>
              </w:numPr>
              <w:tabs>
                <w:tab w:val="center" w:pos="1889"/>
              </w:tabs>
              <w:spacing w:after="0" w:line="259" w:lineRule="auto"/>
              <w:rPr>
                <w:rFonts w:ascii="Arial" w:hAnsi="Arial" w:cs="Arial"/>
                <w:sz w:val="20"/>
                <w:szCs w:val="20"/>
              </w:rPr>
            </w:pPr>
            <w:r w:rsidRPr="00D71A4F">
              <w:rPr>
                <w:rFonts w:ascii="Arial" w:hAnsi="Arial" w:cs="Arial"/>
                <w:sz w:val="20"/>
                <w:szCs w:val="20"/>
              </w:rPr>
              <w:t xml:space="preserve">This is unlikely to apply in optical settings.  </w:t>
            </w:r>
          </w:p>
          <w:p w14:paraId="5025FFF6" w14:textId="77777777" w:rsidR="007176C1" w:rsidRPr="00D71A4F" w:rsidRDefault="008D7D89">
            <w:pPr>
              <w:spacing w:after="0" w:line="259" w:lineRule="auto"/>
              <w:ind w:left="361" w:firstLine="0"/>
              <w:rPr>
                <w:rFonts w:ascii="Arial" w:hAnsi="Arial" w:cs="Arial"/>
                <w:sz w:val="20"/>
                <w:szCs w:val="20"/>
              </w:rPr>
            </w:pPr>
            <w:r w:rsidRPr="00D71A4F">
              <w:rPr>
                <w:rFonts w:ascii="Arial" w:hAnsi="Arial" w:cs="Arial"/>
                <w:sz w:val="20"/>
                <w:szCs w:val="20"/>
              </w:rPr>
              <w:t xml:space="preserve"> </w:t>
            </w:r>
          </w:p>
        </w:tc>
      </w:tr>
    </w:tbl>
    <w:p w14:paraId="1AAB4651" w14:textId="77777777" w:rsidR="007176C1" w:rsidRPr="00D71A4F" w:rsidRDefault="008D7D89">
      <w:pPr>
        <w:spacing w:after="19" w:line="259" w:lineRule="auto"/>
        <w:ind w:left="0" w:firstLine="0"/>
        <w:rPr>
          <w:rFonts w:ascii="Arial" w:hAnsi="Arial" w:cs="Arial"/>
          <w:sz w:val="20"/>
          <w:szCs w:val="20"/>
        </w:rPr>
      </w:pPr>
      <w:r w:rsidRPr="00D71A4F">
        <w:rPr>
          <w:rFonts w:ascii="Arial" w:hAnsi="Arial" w:cs="Arial"/>
          <w:b/>
          <w:sz w:val="20"/>
          <w:szCs w:val="20"/>
        </w:rPr>
        <w:t xml:space="preserve"> </w:t>
      </w:r>
    </w:p>
    <w:p w14:paraId="37B53F22" w14:textId="77777777" w:rsidR="007176C1" w:rsidRPr="00D71A4F" w:rsidRDefault="008D7D89">
      <w:pPr>
        <w:spacing w:after="0" w:line="259" w:lineRule="auto"/>
        <w:ind w:left="0" w:firstLine="0"/>
        <w:rPr>
          <w:rFonts w:ascii="Arial" w:hAnsi="Arial" w:cs="Arial"/>
        </w:rPr>
      </w:pPr>
      <w:r w:rsidRPr="00D71A4F">
        <w:rPr>
          <w:rFonts w:ascii="Arial" w:hAnsi="Arial" w:cs="Arial"/>
        </w:rPr>
        <w:t xml:space="preserve"> </w:t>
      </w:r>
    </w:p>
    <w:sectPr w:rsidR="007176C1" w:rsidRPr="00D71A4F">
      <w:footerReference w:type="even" r:id="rId91"/>
      <w:footerReference w:type="default" r:id="rId92"/>
      <w:footerReference w:type="first" r:id="rId93"/>
      <w:pgSz w:w="15840" w:h="12240" w:orient="landscape"/>
      <w:pgMar w:top="1446" w:right="1850" w:bottom="1477"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A6934" w14:textId="77777777" w:rsidR="00DC1C78" w:rsidRDefault="00DC1C78">
      <w:pPr>
        <w:spacing w:after="0" w:line="240" w:lineRule="auto"/>
      </w:pPr>
      <w:r>
        <w:separator/>
      </w:r>
    </w:p>
  </w:endnote>
  <w:endnote w:type="continuationSeparator" w:id="0">
    <w:p w14:paraId="1F8AA7BB" w14:textId="77777777" w:rsidR="00DC1C78" w:rsidRDefault="00DC1C78">
      <w:pPr>
        <w:spacing w:after="0" w:line="240" w:lineRule="auto"/>
      </w:pPr>
      <w:r>
        <w:continuationSeparator/>
      </w:r>
    </w:p>
  </w:endnote>
  <w:endnote w:id="1">
    <w:p w14:paraId="4687DDDB" w14:textId="77777777" w:rsidR="004319E4" w:rsidRPr="00540A44" w:rsidRDefault="004319E4">
      <w:pPr>
        <w:pStyle w:val="footnotedescription"/>
        <w:spacing w:line="259" w:lineRule="auto"/>
        <w:rPr>
          <w:rFonts w:ascii="Arial" w:hAnsi="Arial" w:cs="Arial"/>
          <w:sz w:val="22"/>
        </w:rPr>
      </w:pPr>
      <w:r w:rsidRPr="00540A44">
        <w:rPr>
          <w:rStyle w:val="footnotemark"/>
          <w:rFonts w:ascii="Arial" w:hAnsi="Arial" w:cs="Arial"/>
          <w:sz w:val="22"/>
        </w:rPr>
        <w:endnoteRef/>
      </w:r>
      <w:r w:rsidRPr="00540A44">
        <w:rPr>
          <w:rFonts w:ascii="Arial" w:hAnsi="Arial" w:cs="Arial"/>
          <w:sz w:val="22"/>
        </w:rPr>
        <w:t xml:space="preserve"> Regulation (EU) 2016/679 of The European Parliament and of The Council of 27 April 2016 </w:t>
      </w:r>
    </w:p>
  </w:endnote>
  <w:endnote w:id="2">
    <w:p w14:paraId="6556E3D6" w14:textId="77777777" w:rsidR="004319E4" w:rsidRPr="00540A44" w:rsidRDefault="004319E4">
      <w:pPr>
        <w:pStyle w:val="footnotedescription"/>
        <w:spacing w:line="259" w:lineRule="auto"/>
        <w:rPr>
          <w:rFonts w:ascii="Arial" w:hAnsi="Arial" w:cs="Arial"/>
          <w:sz w:val="22"/>
        </w:rPr>
      </w:pPr>
      <w:r w:rsidRPr="00540A44">
        <w:rPr>
          <w:rStyle w:val="footnotemark"/>
          <w:rFonts w:ascii="Arial" w:hAnsi="Arial" w:cs="Arial"/>
          <w:sz w:val="22"/>
        </w:rPr>
        <w:endnoteRef/>
      </w:r>
      <w:r w:rsidRPr="00540A44">
        <w:rPr>
          <w:rFonts w:ascii="Arial" w:hAnsi="Arial" w:cs="Arial"/>
          <w:sz w:val="22"/>
        </w:rPr>
        <w:t xml:space="preserve"> ICO, 21 Nov. 2017</w:t>
      </w:r>
      <w:hyperlink r:id="rId1">
        <w:r w:rsidRPr="00540A44">
          <w:rPr>
            <w:rFonts w:ascii="Arial" w:hAnsi="Arial" w:cs="Arial"/>
            <w:sz w:val="22"/>
          </w:rPr>
          <w:t xml:space="preserve">, </w:t>
        </w:r>
      </w:hyperlink>
      <w:hyperlink r:id="rId2">
        <w:r w:rsidRPr="00540A44">
          <w:rPr>
            <w:rFonts w:ascii="Arial" w:hAnsi="Arial" w:cs="Arial"/>
            <w:color w:val="0000FF"/>
            <w:sz w:val="22"/>
            <w:u w:val="single" w:color="0000FF"/>
          </w:rPr>
          <w:t>Guide to the General Data Protection Regulations</w:t>
        </w:r>
      </w:hyperlink>
      <w:hyperlink r:id="rId3">
        <w:r w:rsidRPr="00540A44">
          <w:rPr>
            <w:rFonts w:ascii="Arial" w:hAnsi="Arial" w:cs="Arial"/>
            <w:sz w:val="22"/>
          </w:rPr>
          <w:t xml:space="preserve"> </w:t>
        </w:r>
      </w:hyperlink>
      <w:hyperlink r:id="rId4">
        <w:r w:rsidRPr="00540A44">
          <w:rPr>
            <w:rFonts w:ascii="Arial" w:hAnsi="Arial" w:cs="Arial"/>
            <w:sz w:val="22"/>
          </w:rPr>
          <w:t>(</w:t>
        </w:r>
      </w:hyperlink>
      <w:r w:rsidRPr="00540A44">
        <w:rPr>
          <w:rFonts w:ascii="Arial" w:hAnsi="Arial" w:cs="Arial"/>
          <w:sz w:val="22"/>
        </w:rPr>
        <w:t xml:space="preserve">GDPR)  </w:t>
      </w:r>
    </w:p>
  </w:endnote>
  <w:endnote w:id="3">
    <w:p w14:paraId="516F7B4F" w14:textId="77777777" w:rsidR="004319E4" w:rsidRPr="00540A44" w:rsidRDefault="004319E4">
      <w:pPr>
        <w:pStyle w:val="footnotedescription"/>
        <w:spacing w:line="249" w:lineRule="auto"/>
        <w:rPr>
          <w:rFonts w:ascii="Arial" w:hAnsi="Arial" w:cs="Arial"/>
          <w:sz w:val="22"/>
        </w:rPr>
      </w:pPr>
      <w:r w:rsidRPr="00540A44">
        <w:rPr>
          <w:rStyle w:val="footnotemark"/>
          <w:rFonts w:ascii="Arial" w:hAnsi="Arial" w:cs="Arial"/>
          <w:sz w:val="22"/>
        </w:rPr>
        <w:endnoteRef/>
      </w:r>
      <w:r w:rsidRPr="00540A44">
        <w:rPr>
          <w:rFonts w:ascii="Arial" w:hAnsi="Arial" w:cs="Arial"/>
          <w:sz w:val="22"/>
        </w:rPr>
        <w:t xml:space="preserve"> Practices that do no electronic processing at all (including no use of computers or other electronic equipment to keep records or produce letters to patients) need not register as a data controller, but do still need to appoint a DPO if providing GOS      </w:t>
      </w:r>
    </w:p>
  </w:endnote>
  <w:endnote w:id="4">
    <w:p w14:paraId="3CDA5520" w14:textId="77777777" w:rsidR="004319E4" w:rsidRPr="00540A44" w:rsidRDefault="004319E4">
      <w:pPr>
        <w:pStyle w:val="footnotedescription"/>
        <w:rPr>
          <w:rFonts w:ascii="Arial" w:hAnsi="Arial" w:cs="Arial"/>
          <w:sz w:val="22"/>
        </w:rPr>
      </w:pPr>
      <w:r w:rsidRPr="00540A44">
        <w:rPr>
          <w:rStyle w:val="footnotemark"/>
          <w:rFonts w:ascii="Arial" w:hAnsi="Arial" w:cs="Arial"/>
          <w:sz w:val="22"/>
        </w:rPr>
        <w:endnoteRef/>
      </w:r>
      <w:r w:rsidRPr="00540A44">
        <w:rPr>
          <w:rFonts w:ascii="Arial" w:hAnsi="Arial" w:cs="Arial"/>
          <w:sz w:val="22"/>
        </w:rPr>
        <w:t xml:space="preserve"> PECR also originates from an EU Directive and is in the process of being updated. We will update guidance once the new regulations are published, subject to how EU regulations are implemented in the UK after March 2019 </w:t>
      </w:r>
    </w:p>
  </w:endnote>
  <w:endnote w:id="5">
    <w:p w14:paraId="1F0074C9" w14:textId="77777777" w:rsidR="004319E4" w:rsidRDefault="004319E4">
      <w:pPr>
        <w:pStyle w:val="footnotedescription"/>
        <w:spacing w:line="250" w:lineRule="auto"/>
      </w:pPr>
      <w:r w:rsidRPr="00540A44">
        <w:rPr>
          <w:rStyle w:val="footnotemark"/>
          <w:rFonts w:ascii="Arial" w:hAnsi="Arial" w:cs="Arial"/>
          <w:sz w:val="22"/>
        </w:rPr>
        <w:endnoteRef/>
      </w:r>
      <w:r w:rsidRPr="00540A44">
        <w:rPr>
          <w:rFonts w:ascii="Arial" w:hAnsi="Arial" w:cs="Arial"/>
          <w:sz w:val="22"/>
        </w:rPr>
        <w:t xml:space="preserve"> ICO, 2017, Overview of the General Data Protection Regulation (GDPR) page 30</w:t>
      </w:r>
      <w:hyperlink r:id="rId5">
        <w:r w:rsidRPr="00540A44">
          <w:rPr>
            <w:rFonts w:ascii="Arial" w:hAnsi="Arial" w:cs="Arial"/>
            <w:sz w:val="22"/>
          </w:rPr>
          <w:t xml:space="preserve">, </w:t>
        </w:r>
      </w:hyperlink>
      <w:hyperlink r:id="rId6">
        <w:r w:rsidRPr="00540A44">
          <w:rPr>
            <w:rFonts w:ascii="Arial" w:hAnsi="Arial" w:cs="Arial"/>
            <w:color w:val="0000FF"/>
            <w:sz w:val="22"/>
            <w:u w:val="single" w:color="0000FF"/>
          </w:rPr>
          <w:t>https://ico.org.uk/media/for</w:t>
        </w:r>
      </w:hyperlink>
      <w:hyperlink r:id="rId7"/>
      <w:hyperlink r:id="rId8">
        <w:r w:rsidRPr="00540A44">
          <w:rPr>
            <w:rFonts w:ascii="Arial" w:hAnsi="Arial" w:cs="Arial"/>
            <w:color w:val="0000FF"/>
            <w:sz w:val="22"/>
            <w:u w:val="single" w:color="0000FF"/>
          </w:rPr>
          <w:t>organisations/data</w:t>
        </w:r>
      </w:hyperlink>
      <w:hyperlink r:id="rId9">
        <w:r w:rsidRPr="00540A44">
          <w:rPr>
            <w:rFonts w:ascii="Arial" w:hAnsi="Arial" w:cs="Arial"/>
            <w:color w:val="0000FF"/>
            <w:sz w:val="22"/>
            <w:u w:val="single" w:color="0000FF"/>
          </w:rPr>
          <w:t>-</w:t>
        </w:r>
      </w:hyperlink>
      <w:hyperlink r:id="rId10">
        <w:r w:rsidRPr="00540A44">
          <w:rPr>
            <w:rFonts w:ascii="Arial" w:hAnsi="Arial" w:cs="Arial"/>
            <w:color w:val="0000FF"/>
            <w:sz w:val="22"/>
            <w:u w:val="single" w:color="0000FF"/>
          </w:rPr>
          <w:t>protection</w:t>
        </w:r>
      </w:hyperlink>
      <w:hyperlink r:id="rId11">
        <w:r w:rsidRPr="00540A44">
          <w:rPr>
            <w:rFonts w:ascii="Arial" w:hAnsi="Arial" w:cs="Arial"/>
            <w:color w:val="0000FF"/>
            <w:sz w:val="22"/>
            <w:u w:val="single" w:color="0000FF"/>
          </w:rPr>
          <w:t>-</w:t>
        </w:r>
      </w:hyperlink>
      <w:hyperlink r:id="rId12">
        <w:r w:rsidRPr="00540A44">
          <w:rPr>
            <w:rFonts w:ascii="Arial" w:hAnsi="Arial" w:cs="Arial"/>
            <w:color w:val="0000FF"/>
            <w:sz w:val="22"/>
            <w:u w:val="single" w:color="0000FF"/>
          </w:rPr>
          <w:t>reform/overview</w:t>
        </w:r>
      </w:hyperlink>
      <w:hyperlink r:id="rId13">
        <w:r w:rsidRPr="00540A44">
          <w:rPr>
            <w:rFonts w:ascii="Arial" w:hAnsi="Arial" w:cs="Arial"/>
            <w:color w:val="0000FF"/>
            <w:sz w:val="22"/>
            <w:u w:val="single" w:color="0000FF"/>
          </w:rPr>
          <w:t>-</w:t>
        </w:r>
      </w:hyperlink>
      <w:hyperlink r:id="rId14">
        <w:r w:rsidRPr="00540A44">
          <w:rPr>
            <w:rFonts w:ascii="Arial" w:hAnsi="Arial" w:cs="Arial"/>
            <w:color w:val="0000FF"/>
            <w:sz w:val="22"/>
            <w:u w:val="single" w:color="0000FF"/>
          </w:rPr>
          <w:t>of</w:t>
        </w:r>
      </w:hyperlink>
      <w:hyperlink r:id="rId15">
        <w:r w:rsidRPr="00540A44">
          <w:rPr>
            <w:rFonts w:ascii="Arial" w:hAnsi="Arial" w:cs="Arial"/>
            <w:color w:val="0000FF"/>
            <w:sz w:val="22"/>
            <w:u w:val="single" w:color="0000FF"/>
          </w:rPr>
          <w:t>-</w:t>
        </w:r>
      </w:hyperlink>
      <w:hyperlink r:id="rId16">
        <w:r w:rsidRPr="00540A44">
          <w:rPr>
            <w:rFonts w:ascii="Arial" w:hAnsi="Arial" w:cs="Arial"/>
            <w:color w:val="0000FF"/>
            <w:sz w:val="22"/>
            <w:u w:val="single" w:color="0000FF"/>
          </w:rPr>
          <w:t>the</w:t>
        </w:r>
      </w:hyperlink>
      <w:hyperlink r:id="rId17">
        <w:r w:rsidRPr="00540A44">
          <w:rPr>
            <w:rFonts w:ascii="Arial" w:hAnsi="Arial" w:cs="Arial"/>
            <w:color w:val="0000FF"/>
            <w:sz w:val="22"/>
            <w:u w:val="single" w:color="0000FF"/>
          </w:rPr>
          <w:t>-</w:t>
        </w:r>
      </w:hyperlink>
      <w:hyperlink r:id="rId18">
        <w:r w:rsidRPr="00540A44">
          <w:rPr>
            <w:rFonts w:ascii="Arial" w:hAnsi="Arial" w:cs="Arial"/>
            <w:color w:val="0000FF"/>
            <w:sz w:val="22"/>
            <w:u w:val="single" w:color="0000FF"/>
          </w:rPr>
          <w:t>gdpr</w:t>
        </w:r>
      </w:hyperlink>
      <w:hyperlink r:id="rId19">
        <w:r w:rsidRPr="00540A44">
          <w:rPr>
            <w:rFonts w:ascii="Arial" w:hAnsi="Arial" w:cs="Arial"/>
            <w:color w:val="0000FF"/>
            <w:sz w:val="22"/>
            <w:u w:val="single" w:color="0000FF"/>
          </w:rPr>
          <w:t>-</w:t>
        </w:r>
      </w:hyperlink>
      <w:hyperlink r:id="rId20">
        <w:r w:rsidRPr="00540A44">
          <w:rPr>
            <w:rFonts w:ascii="Arial" w:hAnsi="Arial" w:cs="Arial"/>
            <w:color w:val="0000FF"/>
            <w:sz w:val="22"/>
            <w:u w:val="single" w:color="0000FF"/>
          </w:rPr>
          <w:t>1</w:t>
        </w:r>
      </w:hyperlink>
      <w:hyperlink r:id="rId21">
        <w:r w:rsidRPr="00540A44">
          <w:rPr>
            <w:rFonts w:ascii="Arial" w:hAnsi="Arial" w:cs="Arial"/>
            <w:color w:val="0000FF"/>
            <w:sz w:val="22"/>
            <w:u w:val="single" w:color="0000FF"/>
          </w:rPr>
          <w:t>-</w:t>
        </w:r>
      </w:hyperlink>
      <w:hyperlink r:id="rId22">
        <w:r w:rsidRPr="00540A44">
          <w:rPr>
            <w:rFonts w:ascii="Arial" w:hAnsi="Arial" w:cs="Arial"/>
            <w:color w:val="0000FF"/>
            <w:sz w:val="22"/>
            <w:u w:val="single" w:color="0000FF"/>
          </w:rPr>
          <w:t>12.pdf</w:t>
        </w:r>
      </w:hyperlink>
      <w:hyperlink r:id="rId23">
        <w:r w:rsidRPr="00540A44">
          <w:rPr>
            <w:rFonts w:ascii="Arial" w:hAnsi="Arial" w:cs="Arial"/>
            <w:sz w:val="22"/>
          </w:rPr>
          <w:t>,</w:t>
        </w:r>
      </w:hyperlink>
      <w:r w:rsidRPr="00540A44">
        <w:rPr>
          <w:rFonts w:ascii="Arial" w:hAnsi="Arial" w:cs="Arial"/>
          <w:sz w:val="22"/>
        </w:rPr>
        <w:t xml:space="preserve"> accessed 15 September 2017</w:t>
      </w:r>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DF50" w14:textId="77777777" w:rsidR="007176C1" w:rsidRDefault="008D7D89">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3504C85F" w14:textId="77777777" w:rsidR="007176C1" w:rsidRDefault="008D7D89">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63D4" w14:textId="77777777" w:rsidR="007176C1" w:rsidRPr="00540A44" w:rsidRDefault="008D7D89">
    <w:pPr>
      <w:spacing w:after="0" w:line="259" w:lineRule="auto"/>
      <w:ind w:left="0" w:right="1" w:firstLine="0"/>
      <w:jc w:val="center"/>
      <w:rPr>
        <w:rFonts w:ascii="Arial" w:hAnsi="Arial" w:cs="Arial"/>
      </w:rPr>
    </w:pPr>
    <w:r w:rsidRPr="00540A44">
      <w:rPr>
        <w:rFonts w:ascii="Arial" w:hAnsi="Arial" w:cs="Arial"/>
      </w:rPr>
      <w:fldChar w:fldCharType="begin"/>
    </w:r>
    <w:r w:rsidRPr="00540A44">
      <w:rPr>
        <w:rFonts w:ascii="Arial" w:hAnsi="Arial" w:cs="Arial"/>
      </w:rPr>
      <w:instrText xml:space="preserve"> PAGE   \* MERGEFORMAT </w:instrText>
    </w:r>
    <w:r w:rsidRPr="00540A44">
      <w:rPr>
        <w:rFonts w:ascii="Arial" w:hAnsi="Arial" w:cs="Arial"/>
      </w:rPr>
      <w:fldChar w:fldCharType="separate"/>
    </w:r>
    <w:r w:rsidRPr="00540A44">
      <w:rPr>
        <w:rFonts w:ascii="Arial" w:hAnsi="Arial" w:cs="Arial"/>
      </w:rPr>
      <w:t>1</w:t>
    </w:r>
    <w:r w:rsidRPr="00540A44">
      <w:rPr>
        <w:rFonts w:ascii="Arial" w:hAnsi="Arial" w:cs="Arial"/>
      </w:rPr>
      <w:fldChar w:fldCharType="end"/>
    </w:r>
    <w:r w:rsidRPr="00540A44">
      <w:rPr>
        <w:rFonts w:ascii="Arial" w:hAnsi="Arial" w:cs="Arial"/>
      </w:rPr>
      <w:t xml:space="preserve"> </w:t>
    </w:r>
  </w:p>
  <w:p w14:paraId="1325A5AB" w14:textId="77777777" w:rsidR="007176C1" w:rsidRDefault="008D7D89">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2BC1" w14:textId="77777777" w:rsidR="007176C1" w:rsidRDefault="008D7D89">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12635BAA" w14:textId="77777777" w:rsidR="007176C1" w:rsidRDefault="008D7D89">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AA02" w14:textId="77777777" w:rsidR="007176C1" w:rsidRDefault="008D7D89">
    <w:pPr>
      <w:spacing w:after="0" w:line="259" w:lineRule="auto"/>
      <w:ind w:left="411" w:firstLine="0"/>
      <w:jc w:val="center"/>
    </w:pPr>
    <w:r>
      <w:fldChar w:fldCharType="begin"/>
    </w:r>
    <w:r>
      <w:instrText xml:space="preserve"> PAGE   \* MERGEFORMAT </w:instrText>
    </w:r>
    <w:r>
      <w:fldChar w:fldCharType="separate"/>
    </w:r>
    <w:r>
      <w:t>18</w:t>
    </w:r>
    <w:r>
      <w:fldChar w:fldCharType="end"/>
    </w:r>
    <w:r>
      <w:t xml:space="preserve"> </w:t>
    </w:r>
  </w:p>
  <w:p w14:paraId="6521FB39" w14:textId="77777777" w:rsidR="007176C1" w:rsidRDefault="008D7D89">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3327F" w14:textId="77777777" w:rsidR="007176C1" w:rsidRDefault="008D7D89">
    <w:pPr>
      <w:spacing w:after="0" w:line="259" w:lineRule="auto"/>
      <w:ind w:left="411" w:firstLine="0"/>
      <w:jc w:val="center"/>
    </w:pPr>
    <w:r>
      <w:fldChar w:fldCharType="begin"/>
    </w:r>
    <w:r>
      <w:instrText xml:space="preserve"> PAGE   \* MERGEFORMAT </w:instrText>
    </w:r>
    <w:r>
      <w:fldChar w:fldCharType="separate"/>
    </w:r>
    <w:r>
      <w:t>18</w:t>
    </w:r>
    <w:r>
      <w:fldChar w:fldCharType="end"/>
    </w:r>
    <w:r>
      <w:t xml:space="preserve"> </w:t>
    </w:r>
  </w:p>
  <w:p w14:paraId="7E4510EB" w14:textId="77777777" w:rsidR="007176C1" w:rsidRDefault="008D7D89">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D2F3" w14:textId="77777777" w:rsidR="007176C1" w:rsidRDefault="008D7D89">
    <w:pPr>
      <w:spacing w:after="0" w:line="259" w:lineRule="auto"/>
      <w:ind w:left="411" w:firstLine="0"/>
      <w:jc w:val="center"/>
    </w:pPr>
    <w:r>
      <w:fldChar w:fldCharType="begin"/>
    </w:r>
    <w:r>
      <w:instrText xml:space="preserve"> PAGE   \* MERGEFORMAT </w:instrText>
    </w:r>
    <w:r>
      <w:fldChar w:fldCharType="separate"/>
    </w:r>
    <w:r>
      <w:t>18</w:t>
    </w:r>
    <w:r>
      <w:fldChar w:fldCharType="end"/>
    </w:r>
    <w:r>
      <w:t xml:space="preserve"> </w:t>
    </w:r>
  </w:p>
  <w:p w14:paraId="2F9C74DE" w14:textId="77777777" w:rsidR="007176C1" w:rsidRDefault="008D7D89">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F7A6D" w14:textId="77777777" w:rsidR="00DC1C78" w:rsidRDefault="00DC1C78">
      <w:pPr>
        <w:spacing w:after="0" w:line="259" w:lineRule="auto"/>
        <w:ind w:left="0" w:firstLine="0"/>
      </w:pPr>
      <w:r>
        <w:separator/>
      </w:r>
    </w:p>
  </w:footnote>
  <w:footnote w:type="continuationSeparator" w:id="0">
    <w:p w14:paraId="30BFB492" w14:textId="77777777" w:rsidR="00DC1C78" w:rsidRDefault="00DC1C78">
      <w:pPr>
        <w:spacing w:after="0" w:line="259"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E80"/>
    <w:multiLevelType w:val="hybridMultilevel"/>
    <w:tmpl w:val="24E278BC"/>
    <w:lvl w:ilvl="0" w:tplc="4B8CAC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D2C6E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F21C2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8C4AB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68B83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42C4E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1C5C1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AB0B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AA76C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280B75"/>
    <w:multiLevelType w:val="hybridMultilevel"/>
    <w:tmpl w:val="69B23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1B59E0"/>
    <w:multiLevelType w:val="hybridMultilevel"/>
    <w:tmpl w:val="673A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A393B"/>
    <w:multiLevelType w:val="hybridMultilevel"/>
    <w:tmpl w:val="5344E1CA"/>
    <w:lvl w:ilvl="0" w:tplc="95E60358">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AAAAC8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4057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C47E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5E34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9413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3606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0093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3A82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7E1681"/>
    <w:multiLevelType w:val="hybridMultilevel"/>
    <w:tmpl w:val="C1DE1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305CC"/>
    <w:multiLevelType w:val="hybridMultilevel"/>
    <w:tmpl w:val="28C2DFB4"/>
    <w:lvl w:ilvl="0" w:tplc="83E69B50">
      <w:start w:val="1"/>
      <w:numFmt w:val="bullet"/>
      <w:lvlText w:val="▪"/>
      <w:lvlJc w:val="left"/>
      <w:pPr>
        <w:ind w:left="5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EF66692">
      <w:start w:val="1"/>
      <w:numFmt w:val="bullet"/>
      <w:lvlText w:val="o"/>
      <w:lvlJc w:val="left"/>
      <w:pPr>
        <w:ind w:left="1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97830DA">
      <w:start w:val="1"/>
      <w:numFmt w:val="bullet"/>
      <w:lvlText w:val="▪"/>
      <w:lvlJc w:val="left"/>
      <w:pPr>
        <w:ind w:left="20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A005B5C">
      <w:start w:val="1"/>
      <w:numFmt w:val="bullet"/>
      <w:lvlText w:val="•"/>
      <w:lvlJc w:val="left"/>
      <w:pPr>
        <w:ind w:left="2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91E2AF4">
      <w:start w:val="1"/>
      <w:numFmt w:val="bullet"/>
      <w:lvlText w:val="o"/>
      <w:lvlJc w:val="left"/>
      <w:pPr>
        <w:ind w:left="3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ABE457E">
      <w:start w:val="1"/>
      <w:numFmt w:val="bullet"/>
      <w:lvlText w:val="▪"/>
      <w:lvlJc w:val="left"/>
      <w:pPr>
        <w:ind w:left="4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88EF12">
      <w:start w:val="1"/>
      <w:numFmt w:val="bullet"/>
      <w:lvlText w:val="•"/>
      <w:lvlJc w:val="left"/>
      <w:pPr>
        <w:ind w:left="4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C00AEC">
      <w:start w:val="1"/>
      <w:numFmt w:val="bullet"/>
      <w:lvlText w:val="o"/>
      <w:lvlJc w:val="left"/>
      <w:pPr>
        <w:ind w:left="5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4DC1D78">
      <w:start w:val="1"/>
      <w:numFmt w:val="bullet"/>
      <w:lvlText w:val="▪"/>
      <w:lvlJc w:val="left"/>
      <w:pPr>
        <w:ind w:left="6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737BF3"/>
    <w:multiLevelType w:val="hybridMultilevel"/>
    <w:tmpl w:val="EEFA9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8769C3"/>
    <w:multiLevelType w:val="hybridMultilevel"/>
    <w:tmpl w:val="6B68F95E"/>
    <w:lvl w:ilvl="0" w:tplc="41EA13A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CE83D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D65F7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0A2D7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76735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1A6F24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4861DA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718192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36A5D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4927C4"/>
    <w:multiLevelType w:val="hybridMultilevel"/>
    <w:tmpl w:val="81AAF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BA17D0"/>
    <w:multiLevelType w:val="hybridMultilevel"/>
    <w:tmpl w:val="8E4EB9BC"/>
    <w:lvl w:ilvl="0" w:tplc="D91806A8">
      <w:start w:val="1"/>
      <w:numFmt w:val="bullet"/>
      <w:lvlText w:val="▪"/>
      <w:lvlJc w:val="left"/>
      <w:pPr>
        <w:ind w:left="36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C0AE676C">
      <w:start w:val="1"/>
      <w:numFmt w:val="bullet"/>
      <w:lvlText w:val="o"/>
      <w:lvlJc w:val="left"/>
      <w:pPr>
        <w:ind w:left="11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0A6FCC0">
      <w:start w:val="1"/>
      <w:numFmt w:val="bullet"/>
      <w:lvlText w:val="▪"/>
      <w:lvlJc w:val="left"/>
      <w:pPr>
        <w:ind w:left="19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5245618">
      <w:start w:val="1"/>
      <w:numFmt w:val="bullet"/>
      <w:lvlText w:val="•"/>
      <w:lvlJc w:val="left"/>
      <w:pPr>
        <w:ind w:left="26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EFA04FC">
      <w:start w:val="1"/>
      <w:numFmt w:val="bullet"/>
      <w:lvlText w:val="o"/>
      <w:lvlJc w:val="left"/>
      <w:pPr>
        <w:ind w:left="33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DB84BC8">
      <w:start w:val="1"/>
      <w:numFmt w:val="bullet"/>
      <w:lvlText w:val="▪"/>
      <w:lvlJc w:val="left"/>
      <w:pPr>
        <w:ind w:left="40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9A67A6C">
      <w:start w:val="1"/>
      <w:numFmt w:val="bullet"/>
      <w:lvlText w:val="•"/>
      <w:lvlJc w:val="left"/>
      <w:pPr>
        <w:ind w:left="4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94E589C">
      <w:start w:val="1"/>
      <w:numFmt w:val="bullet"/>
      <w:lvlText w:val="o"/>
      <w:lvlJc w:val="left"/>
      <w:pPr>
        <w:ind w:left="5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7F0B2B0">
      <w:start w:val="1"/>
      <w:numFmt w:val="bullet"/>
      <w:lvlText w:val="▪"/>
      <w:lvlJc w:val="left"/>
      <w:pPr>
        <w:ind w:left="6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086044"/>
    <w:multiLevelType w:val="hybridMultilevel"/>
    <w:tmpl w:val="80BC1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280AF6"/>
    <w:multiLevelType w:val="hybridMultilevel"/>
    <w:tmpl w:val="4DB0B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9B2A5B"/>
    <w:multiLevelType w:val="hybridMultilevel"/>
    <w:tmpl w:val="57302896"/>
    <w:lvl w:ilvl="0" w:tplc="8D22F01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BC042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68CB7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2A5C5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F0453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22FB3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88182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322B8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0676F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DF59D1"/>
    <w:multiLevelType w:val="hybridMultilevel"/>
    <w:tmpl w:val="D974D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1C4232"/>
    <w:multiLevelType w:val="hybridMultilevel"/>
    <w:tmpl w:val="7AD25424"/>
    <w:lvl w:ilvl="0" w:tplc="6DFE42B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0E1CD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7839C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3077C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EC84E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C23D5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350F2E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D6A5A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17495B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875311"/>
    <w:multiLevelType w:val="hybridMultilevel"/>
    <w:tmpl w:val="FD846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941867"/>
    <w:multiLevelType w:val="hybridMultilevel"/>
    <w:tmpl w:val="DE167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124826"/>
    <w:multiLevelType w:val="hybridMultilevel"/>
    <w:tmpl w:val="28362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F24F81"/>
    <w:multiLevelType w:val="multilevel"/>
    <w:tmpl w:val="98C8D988"/>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7510BEC"/>
    <w:multiLevelType w:val="hybridMultilevel"/>
    <w:tmpl w:val="04625EEA"/>
    <w:lvl w:ilvl="0" w:tplc="ABF0BC5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C4200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5290E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4CE647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09880B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4724D2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F640D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120A81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52A3A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9C46E3C"/>
    <w:multiLevelType w:val="hybridMultilevel"/>
    <w:tmpl w:val="9968D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B87FB8"/>
    <w:multiLevelType w:val="hybridMultilevel"/>
    <w:tmpl w:val="F4BA2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1390674"/>
    <w:multiLevelType w:val="hybridMultilevel"/>
    <w:tmpl w:val="8D7A1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3E18F9"/>
    <w:multiLevelType w:val="hybridMultilevel"/>
    <w:tmpl w:val="9A121C94"/>
    <w:lvl w:ilvl="0" w:tplc="BBD8EAFA">
      <w:start w:val="1"/>
      <w:numFmt w:val="bullet"/>
      <w:lvlText w:val="▪"/>
      <w:lvlJc w:val="left"/>
      <w:pPr>
        <w:ind w:left="36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15E2FCA">
      <w:start w:val="1"/>
      <w:numFmt w:val="bullet"/>
      <w:lvlText w:val="o"/>
      <w:lvlJc w:val="left"/>
      <w:pPr>
        <w:ind w:left="11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A136FEDE">
      <w:start w:val="1"/>
      <w:numFmt w:val="bullet"/>
      <w:lvlText w:val="▪"/>
      <w:lvlJc w:val="left"/>
      <w:pPr>
        <w:ind w:left="19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89E926E">
      <w:start w:val="1"/>
      <w:numFmt w:val="bullet"/>
      <w:lvlText w:val="•"/>
      <w:lvlJc w:val="left"/>
      <w:pPr>
        <w:ind w:left="26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F786200">
      <w:start w:val="1"/>
      <w:numFmt w:val="bullet"/>
      <w:lvlText w:val="o"/>
      <w:lvlJc w:val="left"/>
      <w:pPr>
        <w:ind w:left="33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A4C320C">
      <w:start w:val="1"/>
      <w:numFmt w:val="bullet"/>
      <w:lvlText w:val="▪"/>
      <w:lvlJc w:val="left"/>
      <w:pPr>
        <w:ind w:left="40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D6EC982">
      <w:start w:val="1"/>
      <w:numFmt w:val="bullet"/>
      <w:lvlText w:val="•"/>
      <w:lvlJc w:val="left"/>
      <w:pPr>
        <w:ind w:left="4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E1A1A74">
      <w:start w:val="1"/>
      <w:numFmt w:val="bullet"/>
      <w:lvlText w:val="o"/>
      <w:lvlJc w:val="left"/>
      <w:pPr>
        <w:ind w:left="5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30A4DC4">
      <w:start w:val="1"/>
      <w:numFmt w:val="bullet"/>
      <w:lvlText w:val="▪"/>
      <w:lvlJc w:val="left"/>
      <w:pPr>
        <w:ind w:left="6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C542788"/>
    <w:multiLevelType w:val="hybridMultilevel"/>
    <w:tmpl w:val="7DB62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EB0CFD"/>
    <w:multiLevelType w:val="hybridMultilevel"/>
    <w:tmpl w:val="FC3E9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DD14C5"/>
    <w:multiLevelType w:val="hybridMultilevel"/>
    <w:tmpl w:val="1150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186AA1"/>
    <w:multiLevelType w:val="hybridMultilevel"/>
    <w:tmpl w:val="CED8F37A"/>
    <w:lvl w:ilvl="0" w:tplc="14ECE9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6C37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2249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0F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8CF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B06D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A86A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C26C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4E25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8D0095"/>
    <w:multiLevelType w:val="hybridMultilevel"/>
    <w:tmpl w:val="07BC27D0"/>
    <w:lvl w:ilvl="0" w:tplc="9A48623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C8EFC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50B2A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A4CC3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89019D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18ADED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F68347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187B3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3642B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381782"/>
    <w:multiLevelType w:val="hybridMultilevel"/>
    <w:tmpl w:val="27881976"/>
    <w:lvl w:ilvl="0" w:tplc="278C8C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70A3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5285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AE97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D482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8626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F09A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7654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C854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3DF5A18"/>
    <w:multiLevelType w:val="hybridMultilevel"/>
    <w:tmpl w:val="41D0291A"/>
    <w:lvl w:ilvl="0" w:tplc="3F122998">
      <w:start w:val="1"/>
      <w:numFmt w:val="bullet"/>
      <w:lvlText w:val="▪"/>
      <w:lvlJc w:val="left"/>
      <w:pPr>
        <w:ind w:left="36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762F43C">
      <w:start w:val="1"/>
      <w:numFmt w:val="bullet"/>
      <w:lvlText w:val="o"/>
      <w:lvlJc w:val="left"/>
      <w:pPr>
        <w:ind w:left="11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768409A">
      <w:start w:val="1"/>
      <w:numFmt w:val="bullet"/>
      <w:lvlText w:val="▪"/>
      <w:lvlJc w:val="left"/>
      <w:pPr>
        <w:ind w:left="19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39CE6AE">
      <w:start w:val="1"/>
      <w:numFmt w:val="bullet"/>
      <w:lvlText w:val="•"/>
      <w:lvlJc w:val="left"/>
      <w:pPr>
        <w:ind w:left="26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E584E0C">
      <w:start w:val="1"/>
      <w:numFmt w:val="bullet"/>
      <w:lvlText w:val="o"/>
      <w:lvlJc w:val="left"/>
      <w:pPr>
        <w:ind w:left="33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7309118">
      <w:start w:val="1"/>
      <w:numFmt w:val="bullet"/>
      <w:lvlText w:val="▪"/>
      <w:lvlJc w:val="left"/>
      <w:pPr>
        <w:ind w:left="40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1A854EE">
      <w:start w:val="1"/>
      <w:numFmt w:val="bullet"/>
      <w:lvlText w:val="•"/>
      <w:lvlJc w:val="left"/>
      <w:pPr>
        <w:ind w:left="4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D72F00E">
      <w:start w:val="1"/>
      <w:numFmt w:val="bullet"/>
      <w:lvlText w:val="o"/>
      <w:lvlJc w:val="left"/>
      <w:pPr>
        <w:ind w:left="5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084E11E">
      <w:start w:val="1"/>
      <w:numFmt w:val="bullet"/>
      <w:lvlText w:val="▪"/>
      <w:lvlJc w:val="left"/>
      <w:pPr>
        <w:ind w:left="6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AE1407C"/>
    <w:multiLevelType w:val="hybridMultilevel"/>
    <w:tmpl w:val="3FAE6A06"/>
    <w:lvl w:ilvl="0" w:tplc="D6A6443E">
      <w:start w:val="1"/>
      <w:numFmt w:val="bullet"/>
      <w:lvlText w:val="▪"/>
      <w:lvlJc w:val="left"/>
      <w:pPr>
        <w:ind w:left="36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54860A0E">
      <w:start w:val="1"/>
      <w:numFmt w:val="bullet"/>
      <w:lvlText w:val="o"/>
      <w:lvlJc w:val="left"/>
      <w:pPr>
        <w:ind w:left="11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44C8D9A">
      <w:start w:val="1"/>
      <w:numFmt w:val="bullet"/>
      <w:lvlText w:val="▪"/>
      <w:lvlJc w:val="left"/>
      <w:pPr>
        <w:ind w:left="19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2920578">
      <w:start w:val="1"/>
      <w:numFmt w:val="bullet"/>
      <w:lvlText w:val="•"/>
      <w:lvlJc w:val="left"/>
      <w:pPr>
        <w:ind w:left="26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D42CFF8">
      <w:start w:val="1"/>
      <w:numFmt w:val="bullet"/>
      <w:lvlText w:val="o"/>
      <w:lvlJc w:val="left"/>
      <w:pPr>
        <w:ind w:left="33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3E24F8A">
      <w:start w:val="1"/>
      <w:numFmt w:val="bullet"/>
      <w:lvlText w:val="▪"/>
      <w:lvlJc w:val="left"/>
      <w:pPr>
        <w:ind w:left="40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A2A5F18">
      <w:start w:val="1"/>
      <w:numFmt w:val="bullet"/>
      <w:lvlText w:val="•"/>
      <w:lvlJc w:val="left"/>
      <w:pPr>
        <w:ind w:left="4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A8A5D34">
      <w:start w:val="1"/>
      <w:numFmt w:val="bullet"/>
      <w:lvlText w:val="o"/>
      <w:lvlJc w:val="left"/>
      <w:pPr>
        <w:ind w:left="5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E46B2A2">
      <w:start w:val="1"/>
      <w:numFmt w:val="bullet"/>
      <w:lvlText w:val="▪"/>
      <w:lvlJc w:val="left"/>
      <w:pPr>
        <w:ind w:left="6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C223B78"/>
    <w:multiLevelType w:val="hybridMultilevel"/>
    <w:tmpl w:val="517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0E7F88"/>
    <w:multiLevelType w:val="hybridMultilevel"/>
    <w:tmpl w:val="3FD087FE"/>
    <w:lvl w:ilvl="0" w:tplc="A8124008">
      <w:start w:val="1"/>
      <w:numFmt w:val="lowerLetter"/>
      <w:lvlText w:val="%1)"/>
      <w:lvlJc w:val="left"/>
      <w:pPr>
        <w:ind w:left="720"/>
      </w:pPr>
      <w:rPr>
        <w:rFonts w:ascii="Century Gothic" w:eastAsia="Calibri" w:hAnsi="Century Gothic" w:cs="Calibri" w:hint="default"/>
        <w:b w:val="0"/>
        <w:i w:val="0"/>
        <w:strike w:val="0"/>
        <w:dstrike w:val="0"/>
        <w:color w:val="000000"/>
        <w:sz w:val="22"/>
        <w:szCs w:val="22"/>
        <w:u w:val="none" w:color="000000"/>
        <w:bdr w:val="none" w:sz="0" w:space="0" w:color="auto"/>
        <w:shd w:val="clear" w:color="auto" w:fill="auto"/>
        <w:vertAlign w:val="baseline"/>
      </w:rPr>
    </w:lvl>
    <w:lvl w:ilvl="1" w:tplc="FF12ED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7245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5C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0618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2829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4416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2906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7E83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EFD6690"/>
    <w:multiLevelType w:val="multilevel"/>
    <w:tmpl w:val="C1D47A10"/>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F674DC5"/>
    <w:multiLevelType w:val="hybridMultilevel"/>
    <w:tmpl w:val="7F0C8912"/>
    <w:lvl w:ilvl="0" w:tplc="F5A2E1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88D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7262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8C12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9255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BE4D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161C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9297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685D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15C536E"/>
    <w:multiLevelType w:val="hybridMultilevel"/>
    <w:tmpl w:val="E578B7F8"/>
    <w:lvl w:ilvl="0" w:tplc="5C84AA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5249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64CA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8665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32BA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70C8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24F9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A54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ACEE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2466AF9"/>
    <w:multiLevelType w:val="hybridMultilevel"/>
    <w:tmpl w:val="1D0CA12E"/>
    <w:lvl w:ilvl="0" w:tplc="EF10D904">
      <w:start w:val="1"/>
      <w:numFmt w:val="bullet"/>
      <w:lvlText w:val="▪"/>
      <w:lvlJc w:val="left"/>
      <w:pPr>
        <w:ind w:left="36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EC4EEFA8">
      <w:start w:val="1"/>
      <w:numFmt w:val="bullet"/>
      <w:lvlText w:val="o"/>
      <w:lvlJc w:val="left"/>
      <w:pPr>
        <w:ind w:left="11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AFBAECF4">
      <w:start w:val="1"/>
      <w:numFmt w:val="bullet"/>
      <w:lvlText w:val="▪"/>
      <w:lvlJc w:val="left"/>
      <w:pPr>
        <w:ind w:left="19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A8ABD08">
      <w:start w:val="1"/>
      <w:numFmt w:val="bullet"/>
      <w:lvlText w:val="•"/>
      <w:lvlJc w:val="left"/>
      <w:pPr>
        <w:ind w:left="26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ED2CEEE">
      <w:start w:val="1"/>
      <w:numFmt w:val="bullet"/>
      <w:lvlText w:val="o"/>
      <w:lvlJc w:val="left"/>
      <w:pPr>
        <w:ind w:left="33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638EFA8">
      <w:start w:val="1"/>
      <w:numFmt w:val="bullet"/>
      <w:lvlText w:val="▪"/>
      <w:lvlJc w:val="left"/>
      <w:pPr>
        <w:ind w:left="40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E443FDC">
      <w:start w:val="1"/>
      <w:numFmt w:val="bullet"/>
      <w:lvlText w:val="•"/>
      <w:lvlJc w:val="left"/>
      <w:pPr>
        <w:ind w:left="4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59C41028">
      <w:start w:val="1"/>
      <w:numFmt w:val="bullet"/>
      <w:lvlText w:val="o"/>
      <w:lvlJc w:val="left"/>
      <w:pPr>
        <w:ind w:left="5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9360280">
      <w:start w:val="1"/>
      <w:numFmt w:val="bullet"/>
      <w:lvlText w:val="▪"/>
      <w:lvlJc w:val="left"/>
      <w:pPr>
        <w:ind w:left="6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94C52B7"/>
    <w:multiLevelType w:val="hybridMultilevel"/>
    <w:tmpl w:val="1A8CAC16"/>
    <w:lvl w:ilvl="0" w:tplc="5CD25F00">
      <w:start w:val="1"/>
      <w:numFmt w:val="decimal"/>
      <w:lvlText w:val="%1."/>
      <w:lvlJc w:val="left"/>
      <w:pPr>
        <w:ind w:left="47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B26C7AA8">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5E23C8">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589C80">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2230D6">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B40136">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F678A0">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FEAC18">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125A62">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D7A31E3"/>
    <w:multiLevelType w:val="hybridMultilevel"/>
    <w:tmpl w:val="F766C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661C99"/>
    <w:multiLevelType w:val="hybridMultilevel"/>
    <w:tmpl w:val="A22C2038"/>
    <w:lvl w:ilvl="0" w:tplc="74C8B6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1C0E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7E75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1474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EE7D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B461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280D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420D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82DB4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EDA02B8"/>
    <w:multiLevelType w:val="hybridMultilevel"/>
    <w:tmpl w:val="F272B43E"/>
    <w:lvl w:ilvl="0" w:tplc="4446A56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A28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B00A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FC1B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9CC0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FE3F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72B1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ECF1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92F8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33C0CE9"/>
    <w:multiLevelType w:val="hybridMultilevel"/>
    <w:tmpl w:val="034CFAF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3" w15:restartNumberingAfterBreak="0">
    <w:nsid w:val="79810EDA"/>
    <w:multiLevelType w:val="hybridMultilevel"/>
    <w:tmpl w:val="DF0C7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12"/>
  </w:num>
  <w:num w:numId="3">
    <w:abstractNumId w:val="34"/>
  </w:num>
  <w:num w:numId="4">
    <w:abstractNumId w:val="18"/>
  </w:num>
  <w:num w:numId="5">
    <w:abstractNumId w:val="33"/>
  </w:num>
  <w:num w:numId="6">
    <w:abstractNumId w:val="19"/>
  </w:num>
  <w:num w:numId="7">
    <w:abstractNumId w:val="29"/>
  </w:num>
  <w:num w:numId="8">
    <w:abstractNumId w:val="5"/>
  </w:num>
  <w:num w:numId="9">
    <w:abstractNumId w:val="38"/>
  </w:num>
  <w:num w:numId="10">
    <w:abstractNumId w:val="35"/>
  </w:num>
  <w:num w:numId="11">
    <w:abstractNumId w:val="3"/>
  </w:num>
  <w:num w:numId="12">
    <w:abstractNumId w:val="40"/>
  </w:num>
  <w:num w:numId="13">
    <w:abstractNumId w:val="27"/>
  </w:num>
  <w:num w:numId="14">
    <w:abstractNumId w:val="28"/>
  </w:num>
  <w:num w:numId="15">
    <w:abstractNumId w:val="7"/>
  </w:num>
  <w:num w:numId="16">
    <w:abstractNumId w:val="14"/>
  </w:num>
  <w:num w:numId="17">
    <w:abstractNumId w:val="41"/>
  </w:num>
  <w:num w:numId="18">
    <w:abstractNumId w:val="0"/>
  </w:num>
  <w:num w:numId="19">
    <w:abstractNumId w:val="30"/>
  </w:num>
  <w:num w:numId="20">
    <w:abstractNumId w:val="31"/>
  </w:num>
  <w:num w:numId="21">
    <w:abstractNumId w:val="23"/>
  </w:num>
  <w:num w:numId="22">
    <w:abstractNumId w:val="37"/>
  </w:num>
  <w:num w:numId="23">
    <w:abstractNumId w:val="9"/>
  </w:num>
  <w:num w:numId="24">
    <w:abstractNumId w:val="20"/>
  </w:num>
  <w:num w:numId="25">
    <w:abstractNumId w:val="24"/>
  </w:num>
  <w:num w:numId="26">
    <w:abstractNumId w:val="1"/>
  </w:num>
  <w:num w:numId="27">
    <w:abstractNumId w:val="16"/>
  </w:num>
  <w:num w:numId="28">
    <w:abstractNumId w:val="25"/>
  </w:num>
  <w:num w:numId="29">
    <w:abstractNumId w:val="8"/>
  </w:num>
  <w:num w:numId="30">
    <w:abstractNumId w:val="26"/>
  </w:num>
  <w:num w:numId="31">
    <w:abstractNumId w:val="42"/>
  </w:num>
  <w:num w:numId="32">
    <w:abstractNumId w:val="2"/>
  </w:num>
  <w:num w:numId="33">
    <w:abstractNumId w:val="10"/>
  </w:num>
  <w:num w:numId="34">
    <w:abstractNumId w:val="21"/>
  </w:num>
  <w:num w:numId="35">
    <w:abstractNumId w:val="13"/>
  </w:num>
  <w:num w:numId="36">
    <w:abstractNumId w:val="11"/>
  </w:num>
  <w:num w:numId="37">
    <w:abstractNumId w:val="22"/>
  </w:num>
  <w:num w:numId="38">
    <w:abstractNumId w:val="43"/>
  </w:num>
  <w:num w:numId="39">
    <w:abstractNumId w:val="17"/>
  </w:num>
  <w:num w:numId="40">
    <w:abstractNumId w:val="6"/>
  </w:num>
  <w:num w:numId="41">
    <w:abstractNumId w:val="15"/>
  </w:num>
  <w:num w:numId="42">
    <w:abstractNumId w:val="32"/>
  </w:num>
  <w:num w:numId="43">
    <w:abstractNumId w:val="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6C1"/>
    <w:rsid w:val="000A0439"/>
    <w:rsid w:val="000A568F"/>
    <w:rsid w:val="001A51C2"/>
    <w:rsid w:val="002E4818"/>
    <w:rsid w:val="004001BD"/>
    <w:rsid w:val="004319E4"/>
    <w:rsid w:val="0050270D"/>
    <w:rsid w:val="00540A44"/>
    <w:rsid w:val="00552E75"/>
    <w:rsid w:val="00600FA9"/>
    <w:rsid w:val="006624C4"/>
    <w:rsid w:val="006711CC"/>
    <w:rsid w:val="006F0C03"/>
    <w:rsid w:val="007176C1"/>
    <w:rsid w:val="007476E2"/>
    <w:rsid w:val="0076322B"/>
    <w:rsid w:val="007659AD"/>
    <w:rsid w:val="007A7EB3"/>
    <w:rsid w:val="008210B4"/>
    <w:rsid w:val="00881715"/>
    <w:rsid w:val="008D7D89"/>
    <w:rsid w:val="00A4285C"/>
    <w:rsid w:val="00AF52F1"/>
    <w:rsid w:val="00B36620"/>
    <w:rsid w:val="00CE0E96"/>
    <w:rsid w:val="00CE1945"/>
    <w:rsid w:val="00D23A8C"/>
    <w:rsid w:val="00D71A4F"/>
    <w:rsid w:val="00DC1C78"/>
    <w:rsid w:val="00E2169C"/>
    <w:rsid w:val="00FC2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7E426"/>
  <w15:docId w15:val="{BFD78A9B-1AAF-4829-8CC4-5DF04105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271"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09" w:line="267" w:lineRule="auto"/>
      <w:ind w:left="10" w:right="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line="256" w:lineRule="auto"/>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D7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D89"/>
    <w:rPr>
      <w:rFonts w:ascii="Calibri" w:eastAsia="Calibri" w:hAnsi="Calibri" w:cs="Calibri"/>
      <w:color w:val="000000"/>
    </w:rPr>
  </w:style>
  <w:style w:type="paragraph" w:styleId="ListParagraph">
    <w:name w:val="List Paragraph"/>
    <w:basedOn w:val="Normal"/>
    <w:uiPriority w:val="34"/>
    <w:qFormat/>
    <w:rsid w:val="00CE1945"/>
    <w:pPr>
      <w:ind w:left="720"/>
      <w:contextualSpacing/>
    </w:pPr>
  </w:style>
  <w:style w:type="character" w:styleId="Hyperlink">
    <w:name w:val="Hyperlink"/>
    <w:basedOn w:val="DefaultParagraphFont"/>
    <w:uiPriority w:val="99"/>
    <w:unhideWhenUsed/>
    <w:rsid w:val="00881715"/>
    <w:rPr>
      <w:color w:val="0563C1" w:themeColor="hyperlink"/>
      <w:u w:val="single"/>
    </w:rPr>
  </w:style>
  <w:style w:type="character" w:styleId="UnresolvedMention">
    <w:name w:val="Unresolved Mention"/>
    <w:basedOn w:val="DefaultParagraphFont"/>
    <w:uiPriority w:val="99"/>
    <w:semiHidden/>
    <w:unhideWhenUsed/>
    <w:rsid w:val="00881715"/>
    <w:rPr>
      <w:color w:val="605E5C"/>
      <w:shd w:val="clear" w:color="auto" w:fill="E1DFDD"/>
    </w:rPr>
  </w:style>
  <w:style w:type="paragraph" w:styleId="TOCHeading">
    <w:name w:val="TOC Heading"/>
    <w:basedOn w:val="Heading1"/>
    <w:next w:val="Normal"/>
    <w:uiPriority w:val="39"/>
    <w:unhideWhenUsed/>
    <w:qFormat/>
    <w:rsid w:val="007A7EB3"/>
    <w:pPr>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7A7EB3"/>
    <w:pPr>
      <w:spacing w:after="100"/>
      <w:ind w:left="0"/>
    </w:pPr>
  </w:style>
  <w:style w:type="paragraph" w:styleId="BalloonText">
    <w:name w:val="Balloon Text"/>
    <w:basedOn w:val="Normal"/>
    <w:link w:val="BalloonTextChar"/>
    <w:uiPriority w:val="99"/>
    <w:semiHidden/>
    <w:unhideWhenUsed/>
    <w:rsid w:val="007A7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EB3"/>
    <w:rPr>
      <w:rFonts w:ascii="Segoe UI" w:eastAsia="Calibri" w:hAnsi="Segoe UI" w:cs="Segoe UI"/>
      <w:color w:val="000000"/>
      <w:sz w:val="18"/>
      <w:szCs w:val="18"/>
    </w:rPr>
  </w:style>
  <w:style w:type="table" w:styleId="TableGrid0">
    <w:name w:val="Table Grid"/>
    <w:basedOn w:val="TableNormal"/>
    <w:uiPriority w:val="39"/>
    <w:rsid w:val="0067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319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19E4"/>
    <w:rPr>
      <w:rFonts w:ascii="Calibri" w:eastAsia="Calibri" w:hAnsi="Calibri" w:cs="Calibri"/>
      <w:color w:val="000000"/>
      <w:sz w:val="20"/>
      <w:szCs w:val="20"/>
    </w:rPr>
  </w:style>
  <w:style w:type="paragraph" w:styleId="FootnoteText">
    <w:name w:val="footnote text"/>
    <w:basedOn w:val="Normal"/>
    <w:link w:val="FootnoteTextChar"/>
    <w:uiPriority w:val="99"/>
    <w:semiHidden/>
    <w:unhideWhenUsed/>
    <w:rsid w:val="004319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9E4"/>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4319E4"/>
    <w:rPr>
      <w:vertAlign w:val="superscript"/>
    </w:rPr>
  </w:style>
  <w:style w:type="character" w:styleId="FootnoteReference">
    <w:name w:val="footnote reference"/>
    <w:basedOn w:val="DefaultParagraphFont"/>
    <w:uiPriority w:val="99"/>
    <w:semiHidden/>
    <w:unhideWhenUsed/>
    <w:rsid w:val="004319E4"/>
    <w:rPr>
      <w:vertAlign w:val="superscript"/>
    </w:rPr>
  </w:style>
  <w:style w:type="paragraph" w:styleId="Footer">
    <w:name w:val="footer"/>
    <w:basedOn w:val="Normal"/>
    <w:link w:val="FooterChar"/>
    <w:uiPriority w:val="99"/>
    <w:unhideWhenUsed/>
    <w:rsid w:val="00552E75"/>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52E7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ico.org.uk/media/for-organisations/documents/1551/direct-marketing-checklist.pdf" TargetMode="External"/><Relationship Id="rId21" Type="http://schemas.openxmlformats.org/officeDocument/2006/relationships/hyperlink" Target="https://ico.org.uk/media/for-organisations/documents/1555/direct-marketing-guidance.pdf" TargetMode="External"/><Relationship Id="rId42" Type="http://schemas.openxmlformats.org/officeDocument/2006/relationships/hyperlink" Target="https://ico.org.uk/for-organisations/report-a-breach/" TargetMode="External"/><Relationship Id="rId47" Type="http://schemas.openxmlformats.org/officeDocument/2006/relationships/hyperlink" Target="https://ico.org.uk/for-organisations/report-a-breach/" TargetMode="External"/><Relationship Id="rId63" Type="http://schemas.openxmlformats.org/officeDocument/2006/relationships/hyperlink" Target="https://digital.nhs.uk/data-and-information/looking-after-information/data-security-and-information-governance/information-governance-alliance-iga/general-data-protection-regulation-gdpr-guidance" TargetMode="External"/><Relationship Id="rId68" Type="http://schemas.openxmlformats.org/officeDocument/2006/relationships/hyperlink" Target="https://ico.org.uk/media/for-organisations/documents/1555/direct-marketing-guidance.pdf" TargetMode="External"/><Relationship Id="rId84" Type="http://schemas.openxmlformats.org/officeDocument/2006/relationships/hyperlink" Target="https://ico.org.uk/for-organisations/data-protection-reform/overview-of-the-gdpr/key-areas-to-consider/" TargetMode="External"/><Relationship Id="rId89" Type="http://schemas.openxmlformats.org/officeDocument/2006/relationships/hyperlink" Target="https://ico.org.uk/for-organisations/data-protection-reform/overview-of-the-gdpr/key-areas-to-consider/" TargetMode="External"/><Relationship Id="rId16" Type="http://schemas.openxmlformats.org/officeDocument/2006/relationships/hyperlink" Target="https://ico.org.uk/for-organisations/guide-to-the-general-data-protection-regulation-gdpr/individual-rights/" TargetMode="External"/><Relationship Id="rId11" Type="http://schemas.openxmlformats.org/officeDocument/2006/relationships/hyperlink" Target="https://ico.org.uk/for-organisations/guide-to-the-general-data-protection-regulation-gdpr/accountability-and-governance/data-protection-officers/" TargetMode="External"/><Relationship Id="rId32" Type="http://schemas.openxmlformats.org/officeDocument/2006/relationships/hyperlink" Target="https://www.nhs.uk/your-nhs-data-matters/" TargetMode="External"/><Relationship Id="rId37" Type="http://schemas.openxmlformats.org/officeDocument/2006/relationships/hyperlink" Target="https://www.nhs.uk/your-nhs-data-matters/" TargetMode="External"/><Relationship Id="rId53" Type="http://schemas.openxmlformats.org/officeDocument/2006/relationships/hyperlink" Target="mailto:memberhsip@fodo.com" TargetMode="External"/><Relationship Id="rId58" Type="http://schemas.openxmlformats.org/officeDocument/2006/relationships/hyperlink" Target="https://ico.org.uk/about-the-ico/news-and-events/events-and-webinars/health-sector-sme-workshop-2017-birmingham/" TargetMode="External"/><Relationship Id="rId74" Type="http://schemas.openxmlformats.org/officeDocument/2006/relationships/hyperlink" Target="https://ico.org.uk/for-organisations/data-protection-reform/overview-of-the-gdpr/key-areas-to-consider/" TargetMode="External"/><Relationship Id="rId79" Type="http://schemas.openxmlformats.org/officeDocument/2006/relationships/hyperlink" Target="https://ico.org.uk/for-organisations/data-protection-reform/overview-of-the-gdpr/key-areas-to-consider/" TargetMode="External"/><Relationship Id="rId5" Type="http://schemas.openxmlformats.org/officeDocument/2006/relationships/footnotes" Target="footnotes.xml"/><Relationship Id="rId90" Type="http://schemas.openxmlformats.org/officeDocument/2006/relationships/hyperlink" Target="https://ico.org.uk/for-organisations/data-protection-reform/overview-of-the-gdpr/key-areas-to-consider/" TargetMode="External"/><Relationship Id="rId95" Type="http://schemas.openxmlformats.org/officeDocument/2006/relationships/theme" Target="theme/theme1.xml"/><Relationship Id="rId22" Type="http://schemas.openxmlformats.org/officeDocument/2006/relationships/hyperlink" Target="https://ico.org.uk/media/for-organisations/documents/1555/direct-marketing-guidance.pdf" TargetMode="External"/><Relationship Id="rId27" Type="http://schemas.openxmlformats.org/officeDocument/2006/relationships/hyperlink" Target="https://ico.org.uk/media/for-organisations/guide-to-the-general-data-protection-regulation-gdpr-1-0.pdf" TargetMode="External"/><Relationship Id="rId43" Type="http://schemas.openxmlformats.org/officeDocument/2006/relationships/hyperlink" Target="https://ico.org.uk/for-organisations/report-a-breach/" TargetMode="External"/><Relationship Id="rId48" Type="http://schemas.openxmlformats.org/officeDocument/2006/relationships/hyperlink" Target="https://ico.org.uk/for-organisations/report-a-breach/" TargetMode="External"/><Relationship Id="rId64" Type="http://schemas.openxmlformats.org/officeDocument/2006/relationships/footer" Target="footer1.xml"/><Relationship Id="rId69" Type="http://schemas.openxmlformats.org/officeDocument/2006/relationships/hyperlink" Target="https://ico.org.uk/media/for-organisations/documents/1555/direct-marketing-guidance.pdf" TargetMode="External"/><Relationship Id="rId8" Type="http://schemas.openxmlformats.org/officeDocument/2006/relationships/hyperlink" Target="http://www.fodo.com" TargetMode="External"/><Relationship Id="rId51" Type="http://schemas.openxmlformats.org/officeDocument/2006/relationships/hyperlink" Target="https://ico.org.uk/for-organisations/data-protection-reform/overview-of-the-gdpr/breach-notification/" TargetMode="External"/><Relationship Id="rId72" Type="http://schemas.openxmlformats.org/officeDocument/2006/relationships/hyperlink" Target="https://ico.org.uk/for-organisations/data-protection-reform/overview-of-the-gdpr/key-areas-to-consider/" TargetMode="External"/><Relationship Id="rId80" Type="http://schemas.openxmlformats.org/officeDocument/2006/relationships/hyperlink" Target="https://ico.org.uk/for-organisations/data-protection-reform/overview-of-the-gdpr/key-areas-to-consider/" TargetMode="External"/><Relationship Id="rId85" Type="http://schemas.openxmlformats.org/officeDocument/2006/relationships/hyperlink" Target="https://ico.org.uk/for-organisations/data-protection-reform/overview-of-the-gdpr/key-areas-to-consider/" TargetMode="External"/><Relationship Id="rId93"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https://ico.org.uk/for-organisations/guide-to-the-general-data-protection-regulation-gdpr/accountability-and-governance/data-protection-officers/" TargetMode="External"/><Relationship Id="rId17" Type="http://schemas.openxmlformats.org/officeDocument/2006/relationships/hyperlink" Target="https://ico.org.uk/for-organisations/guide-to-pecr/what-are-pecr/" TargetMode="External"/><Relationship Id="rId25" Type="http://schemas.openxmlformats.org/officeDocument/2006/relationships/hyperlink" Target="https://ico.org.uk/media/for-organisations/documents/1551/direct-marketing-checklist.pdf" TargetMode="External"/><Relationship Id="rId33" Type="http://schemas.openxmlformats.org/officeDocument/2006/relationships/hyperlink" Target="https://www.nhs.uk/your-nhs-data-matters/" TargetMode="External"/><Relationship Id="rId38" Type="http://schemas.openxmlformats.org/officeDocument/2006/relationships/hyperlink" Target="https://www.nhs.uk/your-nhs-data-matters/" TargetMode="External"/><Relationship Id="rId46" Type="http://schemas.openxmlformats.org/officeDocument/2006/relationships/hyperlink" Target="https://ico.org.uk/for-organisations/report-a-breach/" TargetMode="External"/><Relationship Id="rId59" Type="http://schemas.openxmlformats.org/officeDocument/2006/relationships/hyperlink" Target="https://digital.nhs.uk/data-and-information/looking-after-information/data-security-and-information-governance/information-governance-alliance-iga/general-data-protection-regulation-gdpr-guidance" TargetMode="External"/><Relationship Id="rId67" Type="http://schemas.openxmlformats.org/officeDocument/2006/relationships/hyperlink" Target="https://ico.org.uk/media/for-organisations/documents/1555/direct-marketing-guidance.pdf" TargetMode="External"/><Relationship Id="rId20" Type="http://schemas.openxmlformats.org/officeDocument/2006/relationships/hyperlink" Target="https://ico.org.uk/media/for-organisations/documents/1555/direct-marketing-guidance.pdf" TargetMode="External"/><Relationship Id="rId41" Type="http://schemas.openxmlformats.org/officeDocument/2006/relationships/hyperlink" Target="https://ico.org.uk/global/contact-us/advice-service-for-small-organisations/" TargetMode="External"/><Relationship Id="rId54" Type="http://schemas.openxmlformats.org/officeDocument/2006/relationships/hyperlink" Target="https://ico.org.uk/global/contact-us/helpline/" TargetMode="External"/><Relationship Id="rId62" Type="http://schemas.openxmlformats.org/officeDocument/2006/relationships/hyperlink" Target="https://digital.nhs.uk/data-and-information/looking-after-information/data-security-and-information-governance/information-governance-alliance-iga/general-data-protection-regulation-gdpr-guidance" TargetMode="External"/><Relationship Id="rId70" Type="http://schemas.openxmlformats.org/officeDocument/2006/relationships/hyperlink" Target="https://ico.org.uk/media/for-organisations/documents/1555/direct-marketing-guidance.pdf" TargetMode="External"/><Relationship Id="rId75" Type="http://schemas.openxmlformats.org/officeDocument/2006/relationships/hyperlink" Target="https://ico.org.uk/for-organisations/data-protection-reform/overview-of-the-gdpr/key-areas-to-consider/" TargetMode="External"/><Relationship Id="rId83" Type="http://schemas.openxmlformats.org/officeDocument/2006/relationships/hyperlink" Target="https://ico.org.uk/for-organisations/data-protection-reform/overview-of-the-gdpr/key-areas-to-consider/" TargetMode="External"/><Relationship Id="rId88" Type="http://schemas.openxmlformats.org/officeDocument/2006/relationships/hyperlink" Target="https://ico.org.uk/for-organisations/data-protection-reform/overview-of-the-gdpr/key-areas-to-consider/" TargetMode="External"/><Relationship Id="rId9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co.org.uk/for-organisations/guide-to-the-general-data-protection-regulation-gdpr/individual-rights/" TargetMode="External"/><Relationship Id="rId23" Type="http://schemas.openxmlformats.org/officeDocument/2006/relationships/hyperlink" Target="https://ico.org.uk/media/for-organisations/documents/1555/direct-marketing-guidance.pdf" TargetMode="External"/><Relationship Id="rId28" Type="http://schemas.openxmlformats.org/officeDocument/2006/relationships/hyperlink" Target="https://ico.org.uk/media/for-organisations/guide-to-the-general-data-protection-regulation-gdpr-1-0.pdf" TargetMode="External"/><Relationship Id="rId36" Type="http://schemas.openxmlformats.org/officeDocument/2006/relationships/hyperlink" Target="https://www.nhs.uk/your-nhs-data-matters/" TargetMode="External"/><Relationship Id="rId49" Type="http://schemas.openxmlformats.org/officeDocument/2006/relationships/hyperlink" Target="https://ico.org.uk/for-organisations/report-a-breach/" TargetMode="External"/><Relationship Id="rId57" Type="http://schemas.openxmlformats.org/officeDocument/2006/relationships/hyperlink" Target="https://ico.org.uk/about-the-ico/news-and-events/events-and-webinars/health-sector-sme-workshop-2017-birmingham/" TargetMode="External"/><Relationship Id="rId10" Type="http://schemas.openxmlformats.org/officeDocument/2006/relationships/hyperlink" Target="https://ico.org.uk/for-organisations/guide-to-the-general-data-protection-regulation-gdpr/accountability-and-governance/contracts/" TargetMode="External"/><Relationship Id="rId31" Type="http://schemas.openxmlformats.org/officeDocument/2006/relationships/hyperlink" Target="https://ico.org.uk/media/for-organisations/guide-to-the-general-data-protection-regulation-gdpr-1-0.pdf" TargetMode="External"/><Relationship Id="rId44" Type="http://schemas.openxmlformats.org/officeDocument/2006/relationships/hyperlink" Target="https://ico.org.uk/for-organisations/report-a-breach/" TargetMode="External"/><Relationship Id="rId52" Type="http://schemas.openxmlformats.org/officeDocument/2006/relationships/hyperlink" Target="http://www.fodo.come" TargetMode="External"/><Relationship Id="rId60" Type="http://schemas.openxmlformats.org/officeDocument/2006/relationships/hyperlink" Target="https://digital.nhs.uk/data-and-information/looking-after-information/data-security-and-information-governance/information-governance-alliance-iga/general-data-protection-regulation-gdpr-guidance" TargetMode="External"/><Relationship Id="rId65" Type="http://schemas.openxmlformats.org/officeDocument/2006/relationships/footer" Target="footer2.xml"/><Relationship Id="rId73" Type="http://schemas.openxmlformats.org/officeDocument/2006/relationships/hyperlink" Target="https://ico.org.uk/for-organisations/data-protection-reform/overview-of-the-gdpr/key-areas-to-consider/" TargetMode="External"/><Relationship Id="rId78" Type="http://schemas.openxmlformats.org/officeDocument/2006/relationships/hyperlink" Target="https://ico.org.uk/for-organisations/data-protection-reform/overview-of-the-gdpr/key-areas-to-consider/" TargetMode="External"/><Relationship Id="rId81" Type="http://schemas.openxmlformats.org/officeDocument/2006/relationships/hyperlink" Target="https://ico.org.uk/for-organisations/data-protection-reform/overview-of-the-gdpr/key-areas-to-consider/" TargetMode="External"/><Relationship Id="rId86" Type="http://schemas.openxmlformats.org/officeDocument/2006/relationships/hyperlink" Target="https://ico.org.uk/for-organisations/data-protection-reform/overview-of-the-gdpr/key-areas-to-consider/"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accountability-and-governance/contracts/" TargetMode="External"/><Relationship Id="rId13" Type="http://schemas.openxmlformats.org/officeDocument/2006/relationships/hyperlink" Target="https://digital.nhs.uk/data-and-information/looking-after-information/data-security-and-information-governance/information-governance-alliance-iga" TargetMode="External"/><Relationship Id="rId18" Type="http://schemas.openxmlformats.org/officeDocument/2006/relationships/hyperlink" Target="https://ico.org.uk/for-organisations/guide-to-pecr/what-are-pecr/" TargetMode="External"/><Relationship Id="rId39" Type="http://schemas.openxmlformats.org/officeDocument/2006/relationships/hyperlink" Target="https://www.nhs.uk/your-nhs-data-matters/" TargetMode="External"/><Relationship Id="rId34" Type="http://schemas.openxmlformats.org/officeDocument/2006/relationships/hyperlink" Target="https://www.nhs.uk/your-nhs-data-matters/" TargetMode="External"/><Relationship Id="rId50" Type="http://schemas.openxmlformats.org/officeDocument/2006/relationships/hyperlink" Target="https://ico.org.uk/for-organisations/data-protection-reform/overview-of-the-gdpr/breach-notification/" TargetMode="External"/><Relationship Id="rId55" Type="http://schemas.openxmlformats.org/officeDocument/2006/relationships/hyperlink" Target="https://ico.org.uk/global/contact-us/helpline/" TargetMode="External"/><Relationship Id="rId76" Type="http://schemas.openxmlformats.org/officeDocument/2006/relationships/hyperlink" Target="https://ico.org.uk/for-organisations/data-protection-reform/overview-of-the-gdpr/key-areas-to-consider/" TargetMode="External"/><Relationship Id="rId7" Type="http://schemas.openxmlformats.org/officeDocument/2006/relationships/image" Target="media/image1.jpg"/><Relationship Id="rId71" Type="http://schemas.openxmlformats.org/officeDocument/2006/relationships/hyperlink" Target="https://ico.org.uk/for-organisations/data-protection-reform/overview-of-the-gdpr/key-areas-to-consider/" TargetMode="External"/><Relationship Id="rId92" Type="http://schemas.openxmlformats.org/officeDocument/2006/relationships/footer" Target="footer5.xml"/><Relationship Id="rId2" Type="http://schemas.openxmlformats.org/officeDocument/2006/relationships/styles" Target="styles.xml"/><Relationship Id="rId29" Type="http://schemas.openxmlformats.org/officeDocument/2006/relationships/hyperlink" Target="https://ico.org.uk/media/for-organisations/guide-to-the-general-data-protection-regulation-gdpr-1-0.pdf" TargetMode="External"/><Relationship Id="rId24" Type="http://schemas.openxmlformats.org/officeDocument/2006/relationships/hyperlink" Target="https://ico.org.uk/media/for-organisations/documents/1551/direct-marketing-checklist.pdf" TargetMode="External"/><Relationship Id="rId40" Type="http://schemas.openxmlformats.org/officeDocument/2006/relationships/hyperlink" Target="https://ico.org.uk/global/contact-us/advice-service-for-small-organisations/" TargetMode="External"/><Relationship Id="rId45" Type="http://schemas.openxmlformats.org/officeDocument/2006/relationships/hyperlink" Target="https://ico.org.uk/for-organisations/report-a-breach/" TargetMode="External"/><Relationship Id="rId66" Type="http://schemas.openxmlformats.org/officeDocument/2006/relationships/footer" Target="footer3.xml"/><Relationship Id="rId87" Type="http://schemas.openxmlformats.org/officeDocument/2006/relationships/hyperlink" Target="https://ico.org.uk/for-organisations/data-protection-reform/overview-of-the-gdpr/key-areas-to-consider/" TargetMode="External"/><Relationship Id="rId61" Type="http://schemas.openxmlformats.org/officeDocument/2006/relationships/hyperlink" Target="https://digital.nhs.uk/data-and-information/looking-after-information/data-security-and-information-governance/information-governance-alliance-iga/general-data-protection-regulation-gdpr-guidance" TargetMode="External"/><Relationship Id="rId82" Type="http://schemas.openxmlformats.org/officeDocument/2006/relationships/hyperlink" Target="https://ico.org.uk/for-organisations/data-protection-reform/overview-of-the-gdpr/key-areas-to-consider/" TargetMode="External"/><Relationship Id="rId19" Type="http://schemas.openxmlformats.org/officeDocument/2006/relationships/hyperlink" Target="https://ico.org.uk/media/for-organisations/documents/1555/direct-marketing-guidance.pdf" TargetMode="External"/><Relationship Id="rId14" Type="http://schemas.openxmlformats.org/officeDocument/2006/relationships/hyperlink" Target="https://digital.nhs.uk/data-and-information/looking-after-information/data-security-and-information-governance/information-governance-alliance-iga" TargetMode="External"/><Relationship Id="rId30" Type="http://schemas.openxmlformats.org/officeDocument/2006/relationships/hyperlink" Target="https://ico.org.uk/media/for-organisations/guide-to-the-general-data-protection-regulation-gdpr-1-0.pdf" TargetMode="External"/><Relationship Id="rId35" Type="http://schemas.openxmlformats.org/officeDocument/2006/relationships/hyperlink" Target="https://www.nhs.uk/your-nhs-data-matters/" TargetMode="External"/><Relationship Id="rId56" Type="http://schemas.openxmlformats.org/officeDocument/2006/relationships/hyperlink" Target="https://ico.org.uk/about-the-ico/news-and-events/events-and-webinars/health-sector-sme-workshop-2017-birmingham/" TargetMode="External"/><Relationship Id="rId77" Type="http://schemas.openxmlformats.org/officeDocument/2006/relationships/hyperlink" Target="https://ico.org.uk/for-organisations/data-protection-reform/overview-of-the-gdpr/key-areas-to-consider/"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ico.org.uk/media/for-organisations/data-protection-reform/overview-of-the-gdpr-1-12.pdf" TargetMode="External"/><Relationship Id="rId13" Type="http://schemas.openxmlformats.org/officeDocument/2006/relationships/hyperlink" Target="https://ico.org.uk/media/for-organisations/data-protection-reform/overview-of-the-gdpr-1-12.pdf" TargetMode="External"/><Relationship Id="rId18" Type="http://schemas.openxmlformats.org/officeDocument/2006/relationships/hyperlink" Target="https://ico.org.uk/media/for-organisations/data-protection-reform/overview-of-the-gdpr-1-12.pdf" TargetMode="External"/><Relationship Id="rId3" Type="http://schemas.openxmlformats.org/officeDocument/2006/relationships/hyperlink" Target="https://ico.org.uk/media/for-organisations/guide-to-the-general-data-protection-regulation-gdpr-1-0.pdf" TargetMode="External"/><Relationship Id="rId21" Type="http://schemas.openxmlformats.org/officeDocument/2006/relationships/hyperlink" Target="https://ico.org.uk/media/for-organisations/data-protection-reform/overview-of-the-gdpr-1-12.pdf" TargetMode="External"/><Relationship Id="rId7" Type="http://schemas.openxmlformats.org/officeDocument/2006/relationships/hyperlink" Target="https://ico.org.uk/media/for-organisations/data-protection-reform/overview-of-the-gdpr-1-12.pdf" TargetMode="External"/><Relationship Id="rId12" Type="http://schemas.openxmlformats.org/officeDocument/2006/relationships/hyperlink" Target="https://ico.org.uk/media/for-organisations/data-protection-reform/overview-of-the-gdpr-1-12.pdf" TargetMode="External"/><Relationship Id="rId17" Type="http://schemas.openxmlformats.org/officeDocument/2006/relationships/hyperlink" Target="https://ico.org.uk/media/for-organisations/data-protection-reform/overview-of-the-gdpr-1-12.pdf" TargetMode="External"/><Relationship Id="rId2" Type="http://schemas.openxmlformats.org/officeDocument/2006/relationships/hyperlink" Target="https://ico.org.uk/media/for-organisations/guide-to-the-general-data-protection-regulation-gdpr-1-0.pdf" TargetMode="External"/><Relationship Id="rId16" Type="http://schemas.openxmlformats.org/officeDocument/2006/relationships/hyperlink" Target="https://ico.org.uk/media/for-organisations/data-protection-reform/overview-of-the-gdpr-1-12.pdf" TargetMode="External"/><Relationship Id="rId20" Type="http://schemas.openxmlformats.org/officeDocument/2006/relationships/hyperlink" Target="https://ico.org.uk/media/for-organisations/data-protection-reform/overview-of-the-gdpr-1-12.pdf" TargetMode="External"/><Relationship Id="rId1" Type="http://schemas.openxmlformats.org/officeDocument/2006/relationships/hyperlink" Target="https://ico.org.uk/media/for-organisations/guide-to-the-general-data-protection-regulation-gdpr-1-0.pdf" TargetMode="External"/><Relationship Id="rId6" Type="http://schemas.openxmlformats.org/officeDocument/2006/relationships/hyperlink" Target="https://ico.org.uk/media/for-organisations/data-protection-reform/overview-of-the-gdpr-1-12.pdf" TargetMode="External"/><Relationship Id="rId11" Type="http://schemas.openxmlformats.org/officeDocument/2006/relationships/hyperlink" Target="https://ico.org.uk/media/for-organisations/data-protection-reform/overview-of-the-gdpr-1-12.pdf" TargetMode="External"/><Relationship Id="rId5" Type="http://schemas.openxmlformats.org/officeDocument/2006/relationships/hyperlink" Target="https://ico.org.uk/media/for-organisations/data-protection-reform/overview-of-the-gdpr-1-12.pdf" TargetMode="External"/><Relationship Id="rId15" Type="http://schemas.openxmlformats.org/officeDocument/2006/relationships/hyperlink" Target="https://ico.org.uk/media/for-organisations/data-protection-reform/overview-of-the-gdpr-1-12.pdf" TargetMode="External"/><Relationship Id="rId23" Type="http://schemas.openxmlformats.org/officeDocument/2006/relationships/hyperlink" Target="https://ico.org.uk/media/for-organisations/data-protection-reform/overview-of-the-gdpr-1-12.pdf" TargetMode="External"/><Relationship Id="rId10" Type="http://schemas.openxmlformats.org/officeDocument/2006/relationships/hyperlink" Target="https://ico.org.uk/media/for-organisations/data-protection-reform/overview-of-the-gdpr-1-12.pdf" TargetMode="External"/><Relationship Id="rId19" Type="http://schemas.openxmlformats.org/officeDocument/2006/relationships/hyperlink" Target="https://ico.org.uk/media/for-organisations/data-protection-reform/overview-of-the-gdpr-1-12.pdf" TargetMode="External"/><Relationship Id="rId4" Type="http://schemas.openxmlformats.org/officeDocument/2006/relationships/hyperlink" Target="https://ico.org.uk/media/for-organisations/guide-to-the-general-data-protection-regulation-gdpr-1-0.pdf" TargetMode="External"/><Relationship Id="rId9" Type="http://schemas.openxmlformats.org/officeDocument/2006/relationships/hyperlink" Target="https://ico.org.uk/media/for-organisations/data-protection-reform/overview-of-the-gdpr-1-12.pdf" TargetMode="External"/><Relationship Id="rId14" Type="http://schemas.openxmlformats.org/officeDocument/2006/relationships/hyperlink" Target="https://ico.org.uk/media/for-organisations/data-protection-reform/overview-of-the-gdpr-1-12.pdf" TargetMode="External"/><Relationship Id="rId22" Type="http://schemas.openxmlformats.org/officeDocument/2006/relationships/hyperlink" Target="https://ico.org.uk/media/for-organisations/data-protection-reform/overview-of-the-gdpr-1-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8727</Words>
  <Characters>49745</Characters>
  <Application>Microsoft Office Word</Application>
  <DocSecurity>0</DocSecurity>
  <Lines>414</Lines>
  <Paragraphs>116</Paragraphs>
  <ScaleCrop>false</ScaleCrop>
  <Company/>
  <LinksUpToDate>false</LinksUpToDate>
  <CharactersWithSpaces>58356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Harjit Sandhu</dc:creator>
  <cp:keywords/>
  <cp:lastModifiedBy>harjit sandhu</cp:lastModifiedBy>
  <cp:revision>8</cp:revision>
  <dcterms:created xsi:type="dcterms:W3CDTF">2020-01-10T20:27:00Z</dcterms:created>
  <dcterms:modified xsi:type="dcterms:W3CDTF">2020-01-26T13:31:00Z</dcterms:modified>
</cp:coreProperties>
</file>